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07BD05" w14:textId="77777777" w:rsidR="003D2277" w:rsidRDefault="003D2277" w:rsidP="003D2277">
      <w:pPr>
        <w:pStyle w:val="NormalWeb"/>
        <w:jc w:val="center"/>
      </w:pPr>
      <w:r>
        <w:rPr>
          <w:noProof/>
        </w:rPr>
        <w:drawing>
          <wp:inline distT="0" distB="0" distL="0" distR="0" wp14:anchorId="34054524" wp14:editId="493A51DD">
            <wp:extent cx="2872300" cy="1386840"/>
            <wp:effectExtent l="0" t="0" r="4445" b="3810"/>
            <wp:docPr id="850253342" name="Picture 1" descr="A logo with a colorful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3342" name="Picture 1" descr="A logo with a colorful design&#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7176" cy="1389194"/>
                    </a:xfrm>
                    <a:prstGeom prst="rect">
                      <a:avLst/>
                    </a:prstGeom>
                    <a:noFill/>
                    <a:ln>
                      <a:noFill/>
                    </a:ln>
                  </pic:spPr>
                </pic:pic>
              </a:graphicData>
            </a:graphic>
          </wp:inline>
        </w:drawing>
      </w:r>
    </w:p>
    <w:p w14:paraId="61EB2FFF" w14:textId="77777777" w:rsidR="003D2277" w:rsidRDefault="003D2277" w:rsidP="003D2277">
      <w:pPr>
        <w:jc w:val="center"/>
      </w:pPr>
    </w:p>
    <w:p w14:paraId="169D38E8" w14:textId="77777777" w:rsidR="003D2277" w:rsidRDefault="003D2277" w:rsidP="003D2277">
      <w:pPr>
        <w:jc w:val="center"/>
      </w:pPr>
    </w:p>
    <w:p w14:paraId="289CEC02" w14:textId="77777777" w:rsidR="003D2277" w:rsidRDefault="003D2277" w:rsidP="003D2277"/>
    <w:p w14:paraId="2716C665" w14:textId="77777777" w:rsidR="003D2277" w:rsidRDefault="003D2277" w:rsidP="003D2277"/>
    <w:p w14:paraId="3A129820" w14:textId="22A64F47" w:rsidR="00DC4467" w:rsidRPr="00DC4467" w:rsidRDefault="00DC4467" w:rsidP="00DC4467">
      <w:pPr>
        <w:jc w:val="center"/>
        <w:rPr>
          <w:b/>
          <w:sz w:val="60"/>
          <w:szCs w:val="60"/>
        </w:rPr>
      </w:pPr>
      <w:r>
        <w:rPr>
          <w:b/>
          <w:sz w:val="60"/>
          <w:szCs w:val="60"/>
        </w:rPr>
        <w:t>POLICY COMPASS</w:t>
      </w:r>
      <w:r>
        <w:rPr>
          <w:b/>
          <w:sz w:val="60"/>
          <w:szCs w:val="60"/>
        </w:rPr>
        <w:br/>
      </w:r>
      <w:r w:rsidRPr="00DC4467">
        <w:rPr>
          <w:b/>
          <w:sz w:val="60"/>
          <w:szCs w:val="60"/>
        </w:rPr>
        <w:t xml:space="preserve">Tariffs, Uncertainty, and Recession Fears: Inside the IMF’s Latest Forecast </w:t>
      </w:r>
    </w:p>
    <w:p w14:paraId="2CB112B5" w14:textId="0E4E31D6" w:rsidR="00DC4467" w:rsidRDefault="00DC4467" w:rsidP="00DC4467">
      <w:pPr>
        <w:jc w:val="center"/>
        <w:rPr>
          <w:b/>
          <w:sz w:val="60"/>
          <w:szCs w:val="60"/>
        </w:rPr>
      </w:pPr>
      <w:r>
        <w:rPr>
          <w:b/>
          <w:sz w:val="60"/>
          <w:szCs w:val="60"/>
        </w:rPr>
        <w:t xml:space="preserve">By </w:t>
      </w:r>
    </w:p>
    <w:p w14:paraId="226AB410" w14:textId="143CEF15" w:rsidR="00DC4467" w:rsidRPr="00DC4467" w:rsidRDefault="00DC4467" w:rsidP="00DC4467">
      <w:pPr>
        <w:jc w:val="center"/>
        <w:rPr>
          <w:b/>
          <w:sz w:val="60"/>
          <w:szCs w:val="60"/>
        </w:rPr>
      </w:pPr>
      <w:r>
        <w:rPr>
          <w:b/>
          <w:sz w:val="60"/>
          <w:szCs w:val="60"/>
        </w:rPr>
        <w:t xml:space="preserve">Lāsma </w:t>
      </w:r>
      <w:proofErr w:type="spellStart"/>
      <w:r>
        <w:rPr>
          <w:b/>
          <w:sz w:val="60"/>
          <w:szCs w:val="60"/>
        </w:rPr>
        <w:t>Kokina</w:t>
      </w:r>
      <w:proofErr w:type="spellEnd"/>
    </w:p>
    <w:p w14:paraId="61358736" w14:textId="77777777" w:rsidR="003D2277" w:rsidRDefault="003D2277" w:rsidP="003D2277">
      <w:pPr>
        <w:pStyle w:val="NormalWeb"/>
        <w:jc w:val="center"/>
      </w:pPr>
      <w:r>
        <w:rPr>
          <w:noProof/>
        </w:rPr>
        <w:drawing>
          <wp:inline distT="0" distB="0" distL="0" distR="0" wp14:anchorId="5D6378AE" wp14:editId="4C198C8B">
            <wp:extent cx="971550" cy="963930"/>
            <wp:effectExtent l="0" t="0" r="0" b="7620"/>
            <wp:docPr id="1261645527" name="Picture 2" descr="A logo with a gradient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45527" name="Picture 2" descr="A logo with a gradient in the middl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963930"/>
                    </a:xfrm>
                    <a:prstGeom prst="rect">
                      <a:avLst/>
                    </a:prstGeom>
                    <a:noFill/>
                    <a:ln>
                      <a:noFill/>
                    </a:ln>
                  </pic:spPr>
                </pic:pic>
              </a:graphicData>
            </a:graphic>
          </wp:inline>
        </w:drawing>
      </w:r>
    </w:p>
    <w:p w14:paraId="5D9115A1" w14:textId="77777777" w:rsidR="003D2277" w:rsidRDefault="003D2277" w:rsidP="003D2277">
      <w:pPr>
        <w:pStyle w:val="NormalWeb"/>
        <w:jc w:val="center"/>
      </w:pPr>
    </w:p>
    <w:p w14:paraId="21F7BAB9" w14:textId="1DC45AFE" w:rsidR="003D2277" w:rsidRPr="001A4E9B" w:rsidRDefault="00DC4467" w:rsidP="003D2277">
      <w:pPr>
        <w:jc w:val="center"/>
        <w:rPr>
          <w:b/>
          <w:sz w:val="40"/>
          <w:szCs w:val="40"/>
        </w:rPr>
      </w:pPr>
      <w:r>
        <w:rPr>
          <w:b/>
          <w:sz w:val="40"/>
          <w:szCs w:val="40"/>
        </w:rPr>
        <w:t>20</w:t>
      </w:r>
      <w:r w:rsidR="003D2277">
        <w:rPr>
          <w:b/>
          <w:sz w:val="40"/>
          <w:szCs w:val="40"/>
        </w:rPr>
        <w:t xml:space="preserve"> May 2025</w:t>
      </w:r>
    </w:p>
    <w:p w14:paraId="37C32100" w14:textId="77777777" w:rsidR="003D2277" w:rsidRPr="007435A8" w:rsidRDefault="003D2277" w:rsidP="003D2277">
      <w:pPr>
        <w:jc w:val="center"/>
        <w:rPr>
          <w:rFonts w:cstheme="minorHAnsi"/>
          <w:b/>
          <w:color w:val="C45911" w:themeColor="accent2" w:themeShade="BF"/>
          <w:sz w:val="20"/>
          <w:szCs w:val="20"/>
        </w:rPr>
      </w:pPr>
    </w:p>
    <w:p w14:paraId="53D5D604" w14:textId="77777777" w:rsidR="003D2277" w:rsidRPr="007435A8" w:rsidRDefault="003D2277" w:rsidP="003D2277">
      <w:pPr>
        <w:jc w:val="center"/>
        <w:rPr>
          <w:rFonts w:cstheme="minorHAnsi"/>
          <w:b/>
          <w:color w:val="C45911" w:themeColor="accent2" w:themeShade="BF"/>
          <w:sz w:val="20"/>
          <w:szCs w:val="20"/>
        </w:rPr>
      </w:pPr>
    </w:p>
    <w:p w14:paraId="4D802933" w14:textId="77777777" w:rsidR="003D2277" w:rsidRPr="007435A8" w:rsidRDefault="003D2277" w:rsidP="003D2277">
      <w:pPr>
        <w:rPr>
          <w:rFonts w:cstheme="minorHAnsi"/>
          <w:b/>
          <w:color w:val="C45911" w:themeColor="accent2" w:themeShade="BF"/>
          <w:sz w:val="20"/>
          <w:szCs w:val="20"/>
        </w:rPr>
      </w:pPr>
    </w:p>
    <w:p w14:paraId="5A17859B" w14:textId="77777777" w:rsidR="00DC4467" w:rsidRDefault="00DC4467" w:rsidP="00DC4467">
      <w:pPr>
        <w:jc w:val="center"/>
        <w:rPr>
          <w:rFonts w:cstheme="minorHAnsi"/>
          <w:b/>
          <w:color w:val="C45911" w:themeColor="accent2" w:themeShade="BF"/>
          <w:sz w:val="20"/>
          <w:szCs w:val="20"/>
        </w:rPr>
      </w:pPr>
      <w:r>
        <w:rPr>
          <w:rFonts w:cstheme="minorHAnsi"/>
          <w:b/>
          <w:color w:val="C45911" w:themeColor="accent2" w:themeShade="BF"/>
          <w:sz w:val="20"/>
          <w:szCs w:val="20"/>
        </w:rPr>
        <w:lastRenderedPageBreak/>
        <w:t xml:space="preserve">Lāsma </w:t>
      </w:r>
      <w:proofErr w:type="spellStart"/>
      <w:r>
        <w:rPr>
          <w:rFonts w:cstheme="minorHAnsi"/>
          <w:b/>
          <w:color w:val="C45911" w:themeColor="accent2" w:themeShade="BF"/>
          <w:sz w:val="20"/>
          <w:szCs w:val="20"/>
        </w:rPr>
        <w:t>Kokina</w:t>
      </w:r>
      <w:proofErr w:type="spellEnd"/>
      <w:r>
        <w:rPr>
          <w:rFonts w:cstheme="minorHAnsi"/>
          <w:b/>
          <w:color w:val="C45911" w:themeColor="accent2" w:themeShade="BF"/>
          <w:sz w:val="20"/>
          <w:szCs w:val="20"/>
        </w:rPr>
        <w:t xml:space="preserve"> </w:t>
      </w:r>
    </w:p>
    <w:p w14:paraId="536D5F74" w14:textId="77777777" w:rsidR="00DC4467" w:rsidRPr="00DC4467" w:rsidRDefault="00DC4467" w:rsidP="00DC4467">
      <w:pPr>
        <w:jc w:val="center"/>
        <w:rPr>
          <w:rFonts w:cstheme="minorHAnsi"/>
          <w:b/>
          <w:i/>
          <w:iCs/>
          <w:color w:val="C45911" w:themeColor="accent2" w:themeShade="BF"/>
          <w:sz w:val="20"/>
          <w:szCs w:val="20"/>
        </w:rPr>
      </w:pPr>
      <w:r w:rsidRPr="00DC4467">
        <w:rPr>
          <w:rFonts w:cstheme="minorHAnsi"/>
          <w:b/>
          <w:i/>
          <w:iCs/>
          <w:color w:val="C45911" w:themeColor="accent2" w:themeShade="BF"/>
          <w:sz w:val="20"/>
          <w:szCs w:val="20"/>
        </w:rPr>
        <w:t xml:space="preserve">Tariffs, Uncertainty, and Recession Fears: Inside the IMF’s Latest Forecast </w:t>
      </w:r>
    </w:p>
    <w:p w14:paraId="25F3BE4F" w14:textId="77777777" w:rsidR="00DC4467" w:rsidRDefault="00DC4467" w:rsidP="00DC4467">
      <w:pPr>
        <w:jc w:val="center"/>
        <w:rPr>
          <w:rFonts w:cstheme="minorHAnsi"/>
          <w:b/>
          <w:color w:val="C45911" w:themeColor="accent2" w:themeShade="BF"/>
          <w:sz w:val="20"/>
          <w:szCs w:val="20"/>
        </w:rPr>
      </w:pPr>
      <w:r>
        <w:rPr>
          <w:rFonts w:cstheme="minorHAnsi"/>
          <w:b/>
          <w:color w:val="C45911" w:themeColor="accent2" w:themeShade="BF"/>
          <w:sz w:val="20"/>
          <w:szCs w:val="20"/>
        </w:rPr>
        <w:t>20 May 2025</w:t>
      </w:r>
    </w:p>
    <w:p w14:paraId="04D6DE15" w14:textId="77777777" w:rsidR="003D2277" w:rsidRPr="00D62FF4" w:rsidRDefault="003D2277" w:rsidP="003D2277">
      <w:pPr>
        <w:tabs>
          <w:tab w:val="left" w:pos="2560"/>
        </w:tabs>
        <w:rPr>
          <w:rFonts w:cstheme="minorHAnsi"/>
          <w:sz w:val="20"/>
          <w:szCs w:val="20"/>
        </w:rPr>
      </w:pPr>
      <w:r w:rsidRPr="00D62FF4">
        <w:rPr>
          <w:rFonts w:cstheme="minorHAnsi"/>
          <w:b/>
          <w:color w:val="C45911" w:themeColor="accent2" w:themeShade="BF"/>
          <w:sz w:val="20"/>
          <w:szCs w:val="20"/>
        </w:rPr>
        <w:t>Table of Contents</w:t>
      </w:r>
      <w:r w:rsidRPr="00D62FF4">
        <w:rPr>
          <w:rFonts w:cstheme="minorHAnsi"/>
          <w:b/>
          <w:color w:val="1AB1AD"/>
          <w:sz w:val="20"/>
          <w:szCs w:val="20"/>
        </w:rPr>
        <w:t xml:space="preserve"> </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0"/>
        <w:gridCol w:w="447"/>
      </w:tblGrid>
      <w:tr w:rsidR="003D2277" w:rsidRPr="005B1B96" w14:paraId="428D69DD" w14:textId="77777777" w:rsidTr="001E7E58">
        <w:tc>
          <w:tcPr>
            <w:tcW w:w="8620" w:type="dxa"/>
          </w:tcPr>
          <w:p w14:paraId="4212718B" w14:textId="77777777" w:rsidR="003D2277" w:rsidRPr="005B1B96" w:rsidRDefault="003D2277" w:rsidP="001E7E58">
            <w:pPr>
              <w:pStyle w:val="MacroGeo"/>
              <w:spacing w:after="80" w:line="312" w:lineRule="auto"/>
              <w:rPr>
                <w:rFonts w:asciiTheme="minorHAnsi" w:hAnsiTheme="minorHAnsi" w:cstheme="minorHAnsi"/>
                <w:color w:val="auto"/>
                <w:sz w:val="20"/>
                <w:szCs w:val="20"/>
                <w:lang w:val="en-GB"/>
              </w:rPr>
            </w:pPr>
            <w:r w:rsidRPr="005B1B96">
              <w:rPr>
                <w:rFonts w:asciiTheme="minorHAnsi" w:hAnsiTheme="minorHAnsi" w:cstheme="minorHAnsi"/>
                <w:color w:val="auto"/>
                <w:sz w:val="20"/>
                <w:szCs w:val="20"/>
                <w:lang w:val="en-GB"/>
              </w:rPr>
              <w:t>Executive Summary ................................................................................................................... Page</w:t>
            </w:r>
          </w:p>
        </w:tc>
        <w:tc>
          <w:tcPr>
            <w:tcW w:w="447" w:type="dxa"/>
          </w:tcPr>
          <w:p w14:paraId="589AB7E3" w14:textId="77777777" w:rsidR="003D2277" w:rsidRPr="005B1B96" w:rsidRDefault="003D2277" w:rsidP="001E7E58">
            <w:pPr>
              <w:pStyle w:val="MacroGeo"/>
              <w:rPr>
                <w:rFonts w:asciiTheme="minorHAnsi" w:hAnsiTheme="minorHAnsi" w:cstheme="minorHAnsi"/>
                <w:color w:val="auto"/>
                <w:sz w:val="20"/>
                <w:szCs w:val="20"/>
                <w:lang w:val="en-GB"/>
              </w:rPr>
            </w:pPr>
            <w:r w:rsidRPr="005B1B96">
              <w:rPr>
                <w:rFonts w:asciiTheme="minorHAnsi" w:hAnsiTheme="minorHAnsi" w:cstheme="minorHAnsi"/>
                <w:color w:val="auto"/>
                <w:sz w:val="20"/>
                <w:szCs w:val="20"/>
                <w:lang w:val="en-GB"/>
              </w:rPr>
              <w:t>3</w:t>
            </w:r>
          </w:p>
        </w:tc>
      </w:tr>
      <w:tr w:rsidR="003D2277" w:rsidRPr="005B1B96" w14:paraId="2CE026F0" w14:textId="77777777" w:rsidTr="001E7E58">
        <w:tc>
          <w:tcPr>
            <w:tcW w:w="8620" w:type="dxa"/>
          </w:tcPr>
          <w:p w14:paraId="46231A6D" w14:textId="0CBE42D5" w:rsidR="003D2277" w:rsidRPr="005B1B96" w:rsidRDefault="003D2277" w:rsidP="001E7E58">
            <w:pPr>
              <w:pStyle w:val="MacroGeo"/>
              <w:spacing w:after="80" w:line="312" w:lineRule="auto"/>
              <w:rPr>
                <w:rFonts w:asciiTheme="minorHAnsi" w:hAnsiTheme="minorHAnsi" w:cstheme="minorHAnsi"/>
                <w:color w:val="000000" w:themeColor="text1"/>
                <w:sz w:val="20"/>
                <w:szCs w:val="20"/>
                <w:lang w:val="en-GB"/>
              </w:rPr>
            </w:pPr>
            <w:r w:rsidRPr="005B1B96">
              <w:rPr>
                <w:rFonts w:asciiTheme="minorHAnsi" w:hAnsiTheme="minorHAnsi" w:cstheme="minorHAnsi"/>
                <w:color w:val="000000" w:themeColor="text1"/>
                <w:sz w:val="20"/>
                <w:szCs w:val="20"/>
                <w:lang w:val="en-GB"/>
              </w:rPr>
              <w:t>1.</w:t>
            </w:r>
            <w:r w:rsidR="00277297">
              <w:rPr>
                <w:rFonts w:asciiTheme="minorHAnsi" w:hAnsiTheme="minorHAnsi" w:cstheme="minorHAnsi"/>
                <w:color w:val="000000" w:themeColor="text1"/>
                <w:sz w:val="20"/>
                <w:szCs w:val="20"/>
                <w:lang w:val="en-GB"/>
              </w:rPr>
              <w:t xml:space="preserve"> </w:t>
            </w:r>
            <w:r w:rsidR="00DC4467">
              <w:rPr>
                <w:rFonts w:asciiTheme="minorHAnsi" w:hAnsiTheme="minorHAnsi" w:cstheme="minorHAnsi"/>
                <w:color w:val="000000" w:themeColor="text1"/>
                <w:sz w:val="20"/>
                <w:szCs w:val="20"/>
                <w:lang w:val="en-GB"/>
              </w:rPr>
              <w:t xml:space="preserve">Forecasting </w:t>
            </w:r>
            <w:r w:rsidR="009A33DC" w:rsidRPr="009A33DC">
              <w:rPr>
                <w:rFonts w:asciiTheme="minorHAnsi" w:hAnsiTheme="minorHAnsi" w:cstheme="minorHAnsi"/>
                <w:color w:val="000000" w:themeColor="text1"/>
                <w:sz w:val="20"/>
                <w:szCs w:val="20"/>
                <w:lang w:val="en-GB"/>
              </w:rPr>
              <w:t xml:space="preserve">Amid Volatility: A Look at the IMF’s Projections </w:t>
            </w:r>
            <w:r w:rsidR="002D2D86" w:rsidRPr="005B1B96">
              <w:rPr>
                <w:rFonts w:eastAsia="Calibri" w:cstheme="minorHAnsi"/>
                <w:color w:val="000000" w:themeColor="text1"/>
                <w:sz w:val="20"/>
                <w:szCs w:val="20"/>
                <w:lang w:val="en-GB"/>
              </w:rPr>
              <w:t>...............................</w:t>
            </w:r>
            <w:r w:rsidR="002D2D86">
              <w:rPr>
                <w:rFonts w:eastAsia="Calibri" w:cstheme="minorHAnsi"/>
                <w:color w:val="000000" w:themeColor="text1"/>
                <w:sz w:val="20"/>
                <w:szCs w:val="20"/>
                <w:lang w:val="en-GB"/>
              </w:rPr>
              <w:t>.......................</w:t>
            </w:r>
          </w:p>
        </w:tc>
        <w:tc>
          <w:tcPr>
            <w:tcW w:w="447" w:type="dxa"/>
          </w:tcPr>
          <w:p w14:paraId="4BB9AAF4" w14:textId="3CB7DE99" w:rsidR="003D2277" w:rsidRPr="005B1B96" w:rsidRDefault="00E96D9D" w:rsidP="001E7E58">
            <w:pPr>
              <w:pStyle w:val="MacroGeo"/>
              <w:rPr>
                <w:rFonts w:asciiTheme="minorHAnsi" w:hAnsiTheme="minorHAnsi" w:cstheme="minorHAnsi"/>
                <w:color w:val="auto"/>
                <w:sz w:val="20"/>
                <w:szCs w:val="20"/>
                <w:lang w:val="en-GB"/>
              </w:rPr>
            </w:pPr>
            <w:r>
              <w:rPr>
                <w:rFonts w:asciiTheme="minorHAnsi" w:hAnsiTheme="minorHAnsi" w:cstheme="minorHAnsi"/>
                <w:color w:val="auto"/>
                <w:sz w:val="20"/>
                <w:szCs w:val="20"/>
                <w:lang w:val="en-GB"/>
              </w:rPr>
              <w:t>4</w:t>
            </w:r>
          </w:p>
        </w:tc>
      </w:tr>
      <w:tr w:rsidR="003D2277" w:rsidRPr="004B643F" w14:paraId="52A002FF" w14:textId="77777777" w:rsidTr="001E7E58">
        <w:tc>
          <w:tcPr>
            <w:tcW w:w="8620" w:type="dxa"/>
          </w:tcPr>
          <w:p w14:paraId="2E4285ED" w14:textId="7F1D178C" w:rsidR="003D2277" w:rsidRPr="004B643F" w:rsidRDefault="00BB3611" w:rsidP="001E7E58">
            <w:pPr>
              <w:pStyle w:val="MacroGeo"/>
              <w:spacing w:after="80" w:line="312" w:lineRule="auto"/>
              <w:rPr>
                <w:rFonts w:asciiTheme="minorHAnsi" w:hAnsiTheme="minorHAnsi" w:cstheme="minorHAnsi"/>
                <w:b w:val="0"/>
                <w:bCs/>
                <w:i/>
                <w:iCs/>
                <w:color w:val="000000" w:themeColor="text1"/>
                <w:sz w:val="20"/>
                <w:szCs w:val="20"/>
                <w:lang w:val="en-GB"/>
              </w:rPr>
            </w:pPr>
            <w:r w:rsidRPr="004B643F">
              <w:rPr>
                <w:rFonts w:asciiTheme="minorHAnsi" w:hAnsiTheme="minorHAnsi" w:cstheme="minorHAnsi"/>
                <w:b w:val="0"/>
                <w:bCs/>
                <w:i/>
                <w:iCs/>
                <w:color w:val="000000" w:themeColor="text1"/>
                <w:sz w:val="20"/>
                <w:szCs w:val="20"/>
                <w:lang w:val="en-GB"/>
              </w:rPr>
              <w:t>1</w:t>
            </w:r>
            <w:r w:rsidR="003D2277" w:rsidRPr="004B643F">
              <w:rPr>
                <w:rFonts w:asciiTheme="minorHAnsi" w:hAnsiTheme="minorHAnsi" w:cstheme="minorHAnsi"/>
                <w:b w:val="0"/>
                <w:bCs/>
                <w:i/>
                <w:iCs/>
                <w:color w:val="000000" w:themeColor="text1"/>
                <w:sz w:val="20"/>
                <w:szCs w:val="20"/>
                <w:lang w:val="en-GB"/>
              </w:rPr>
              <w:t>.</w:t>
            </w:r>
            <w:r w:rsidRPr="004B643F">
              <w:rPr>
                <w:rFonts w:asciiTheme="minorHAnsi" w:hAnsiTheme="minorHAnsi" w:cstheme="minorHAnsi"/>
                <w:b w:val="0"/>
                <w:bCs/>
                <w:i/>
                <w:iCs/>
                <w:color w:val="000000" w:themeColor="text1"/>
                <w:sz w:val="20"/>
                <w:szCs w:val="20"/>
                <w:lang w:val="en-GB"/>
              </w:rPr>
              <w:t>1</w:t>
            </w:r>
            <w:r w:rsidR="003D2277" w:rsidRPr="004B643F">
              <w:rPr>
                <w:rFonts w:asciiTheme="minorHAnsi" w:hAnsiTheme="minorHAnsi" w:cstheme="minorHAnsi"/>
                <w:b w:val="0"/>
                <w:bCs/>
                <w:i/>
                <w:iCs/>
                <w:color w:val="000000" w:themeColor="text1"/>
                <w:sz w:val="20"/>
                <w:szCs w:val="20"/>
                <w:lang w:val="en-GB"/>
              </w:rPr>
              <w:t xml:space="preserve"> </w:t>
            </w:r>
            <w:r w:rsidR="004F2870" w:rsidRPr="004B643F">
              <w:rPr>
                <w:rFonts w:asciiTheme="minorHAnsi" w:hAnsiTheme="minorHAnsi" w:cstheme="minorHAnsi"/>
                <w:b w:val="0"/>
                <w:bCs/>
                <w:i/>
                <w:iCs/>
                <w:color w:val="000000" w:themeColor="text1"/>
                <w:sz w:val="20"/>
                <w:szCs w:val="20"/>
                <w:lang w:val="en-GB"/>
              </w:rPr>
              <w:t>IMF World Economic Outlook: Key points</w:t>
            </w:r>
            <w:r w:rsidR="003D2277" w:rsidRPr="004B643F">
              <w:rPr>
                <w:rFonts w:asciiTheme="minorHAnsi" w:eastAsia="Calibri" w:hAnsiTheme="minorHAnsi" w:cstheme="minorHAnsi"/>
                <w:b w:val="0"/>
                <w:bCs/>
                <w:i/>
                <w:iCs/>
                <w:color w:val="000000" w:themeColor="text1"/>
                <w:sz w:val="20"/>
                <w:szCs w:val="20"/>
                <w:lang w:val="en-GB"/>
              </w:rPr>
              <w:t>................................................</w:t>
            </w:r>
            <w:r w:rsidR="002D2D86" w:rsidRPr="004B643F">
              <w:rPr>
                <w:rFonts w:eastAsia="Calibri" w:cstheme="minorHAnsi"/>
                <w:b w:val="0"/>
                <w:bCs/>
                <w:i/>
                <w:iCs/>
                <w:color w:val="000000" w:themeColor="text1"/>
                <w:sz w:val="20"/>
                <w:szCs w:val="20"/>
                <w:lang w:val="en-GB"/>
              </w:rPr>
              <w:t>............................</w:t>
            </w:r>
            <w:r w:rsidRPr="004B643F">
              <w:rPr>
                <w:rFonts w:eastAsia="Calibri" w:cstheme="minorHAnsi"/>
                <w:b w:val="0"/>
                <w:bCs/>
                <w:i/>
                <w:iCs/>
                <w:color w:val="000000" w:themeColor="text1"/>
                <w:sz w:val="20"/>
                <w:szCs w:val="20"/>
                <w:lang w:val="en-GB"/>
              </w:rPr>
              <w:t>.......</w:t>
            </w:r>
            <w:r w:rsidR="00E96D9D">
              <w:rPr>
                <w:rFonts w:eastAsia="Calibri" w:cstheme="minorHAnsi"/>
                <w:b w:val="0"/>
                <w:bCs/>
                <w:i/>
                <w:iCs/>
                <w:color w:val="000000" w:themeColor="text1"/>
                <w:sz w:val="20"/>
                <w:szCs w:val="20"/>
                <w:lang w:val="en-GB"/>
              </w:rPr>
              <w:t>........</w:t>
            </w:r>
          </w:p>
        </w:tc>
        <w:tc>
          <w:tcPr>
            <w:tcW w:w="447" w:type="dxa"/>
          </w:tcPr>
          <w:p w14:paraId="4918AC8A" w14:textId="74E35991" w:rsidR="003D2277" w:rsidRPr="004B643F" w:rsidRDefault="00E96D9D" w:rsidP="001E7E58">
            <w:pPr>
              <w:pStyle w:val="MacroGeo"/>
              <w:rPr>
                <w:rFonts w:asciiTheme="minorHAnsi" w:hAnsiTheme="minorHAnsi" w:cstheme="minorHAnsi"/>
                <w:b w:val="0"/>
                <w:bCs/>
                <w:i/>
                <w:iCs/>
                <w:color w:val="auto"/>
                <w:sz w:val="20"/>
                <w:szCs w:val="20"/>
                <w:lang w:val="en-GB"/>
              </w:rPr>
            </w:pPr>
            <w:r>
              <w:rPr>
                <w:rFonts w:asciiTheme="minorHAnsi" w:hAnsiTheme="minorHAnsi" w:cstheme="minorHAnsi"/>
                <w:b w:val="0"/>
                <w:bCs/>
                <w:i/>
                <w:iCs/>
                <w:color w:val="auto"/>
                <w:sz w:val="20"/>
                <w:szCs w:val="20"/>
                <w:lang w:val="en-GB"/>
              </w:rPr>
              <w:t>4</w:t>
            </w:r>
          </w:p>
        </w:tc>
      </w:tr>
      <w:tr w:rsidR="003D2277" w:rsidRPr="004B643F" w14:paraId="3DC2C4D4" w14:textId="77777777" w:rsidTr="001E7E58">
        <w:tc>
          <w:tcPr>
            <w:tcW w:w="8620" w:type="dxa"/>
          </w:tcPr>
          <w:p w14:paraId="5F9FDACF" w14:textId="15533BBD" w:rsidR="003D2277" w:rsidRPr="004B643F" w:rsidRDefault="00BB3611" w:rsidP="001E7E58">
            <w:pPr>
              <w:jc w:val="both"/>
              <w:rPr>
                <w:rFonts w:eastAsia="Calibri" w:cstheme="minorHAnsi"/>
                <w:bCs/>
                <w:i/>
                <w:iCs/>
                <w:color w:val="000000" w:themeColor="text1"/>
                <w:sz w:val="20"/>
                <w:szCs w:val="20"/>
                <w:lang w:val="en-GB"/>
              </w:rPr>
            </w:pPr>
            <w:r w:rsidRPr="004B643F">
              <w:rPr>
                <w:rFonts w:cstheme="minorHAnsi"/>
                <w:bCs/>
                <w:i/>
                <w:iCs/>
                <w:color w:val="000000" w:themeColor="text1"/>
                <w:sz w:val="20"/>
                <w:szCs w:val="20"/>
                <w:lang w:val="en-GB"/>
              </w:rPr>
              <w:t>1.2</w:t>
            </w:r>
            <w:r w:rsidR="004F2870" w:rsidRPr="004B643F">
              <w:rPr>
                <w:rFonts w:cstheme="minorHAnsi"/>
                <w:bCs/>
                <w:i/>
                <w:iCs/>
                <w:color w:val="000000" w:themeColor="text1"/>
                <w:sz w:val="20"/>
                <w:szCs w:val="20"/>
                <w:lang w:val="en-GB"/>
              </w:rPr>
              <w:t xml:space="preserve"> </w:t>
            </w:r>
            <w:r w:rsidR="002D2D86" w:rsidRPr="004B643F">
              <w:rPr>
                <w:rFonts w:cstheme="minorHAnsi"/>
                <w:bCs/>
                <w:i/>
                <w:iCs/>
                <w:color w:val="000000" w:themeColor="text1"/>
                <w:sz w:val="20"/>
                <w:szCs w:val="20"/>
                <w:lang w:val="en-GB"/>
              </w:rPr>
              <w:t xml:space="preserve">US Forecasts </w:t>
            </w:r>
            <w:r w:rsidR="003D2277" w:rsidRPr="004B643F">
              <w:rPr>
                <w:rFonts w:eastAsia="Calibri" w:cstheme="minorHAnsi"/>
                <w:bCs/>
                <w:i/>
                <w:iCs/>
                <w:color w:val="000000" w:themeColor="text1"/>
                <w:sz w:val="20"/>
                <w:szCs w:val="20"/>
                <w:lang w:val="en-GB"/>
              </w:rPr>
              <w:t>................................................................</w:t>
            </w:r>
            <w:r w:rsidR="002D2D86" w:rsidRPr="004B643F">
              <w:rPr>
                <w:rFonts w:eastAsia="Calibri" w:cstheme="minorHAnsi"/>
                <w:bCs/>
                <w:i/>
                <w:iCs/>
                <w:color w:val="000000" w:themeColor="text1"/>
                <w:sz w:val="20"/>
                <w:szCs w:val="20"/>
                <w:lang w:val="en-GB"/>
              </w:rPr>
              <w:t>...............................................................</w:t>
            </w:r>
            <w:r w:rsidRPr="004B643F">
              <w:rPr>
                <w:rFonts w:eastAsia="Calibri" w:cstheme="minorHAnsi"/>
                <w:bCs/>
                <w:i/>
                <w:iCs/>
                <w:color w:val="000000" w:themeColor="text1"/>
                <w:sz w:val="20"/>
                <w:szCs w:val="20"/>
                <w:lang w:val="en-GB"/>
              </w:rPr>
              <w:t>...</w:t>
            </w:r>
            <w:r w:rsidR="00E96D9D">
              <w:rPr>
                <w:rFonts w:eastAsia="Calibri" w:cstheme="minorHAnsi"/>
                <w:bCs/>
                <w:i/>
                <w:iCs/>
                <w:color w:val="000000" w:themeColor="text1"/>
                <w:sz w:val="20"/>
                <w:szCs w:val="20"/>
                <w:lang w:val="en-GB"/>
              </w:rPr>
              <w:t>........</w:t>
            </w:r>
          </w:p>
        </w:tc>
        <w:tc>
          <w:tcPr>
            <w:tcW w:w="447" w:type="dxa"/>
          </w:tcPr>
          <w:p w14:paraId="129A1FCD" w14:textId="5839E5D8" w:rsidR="003D2277" w:rsidRPr="004B643F" w:rsidRDefault="003B1F10" w:rsidP="001E7E58">
            <w:pPr>
              <w:pStyle w:val="MacroGeo"/>
              <w:rPr>
                <w:rFonts w:asciiTheme="minorHAnsi" w:hAnsiTheme="minorHAnsi" w:cstheme="minorHAnsi"/>
                <w:b w:val="0"/>
                <w:bCs/>
                <w:i/>
                <w:iCs/>
                <w:color w:val="auto"/>
                <w:sz w:val="20"/>
                <w:szCs w:val="20"/>
                <w:lang w:val="en-GB"/>
              </w:rPr>
            </w:pPr>
            <w:r>
              <w:rPr>
                <w:rFonts w:asciiTheme="minorHAnsi" w:hAnsiTheme="minorHAnsi" w:cstheme="minorHAnsi"/>
                <w:b w:val="0"/>
                <w:bCs/>
                <w:i/>
                <w:iCs/>
                <w:color w:val="auto"/>
                <w:sz w:val="20"/>
                <w:szCs w:val="20"/>
                <w:lang w:val="en-GB"/>
              </w:rPr>
              <w:t>4</w:t>
            </w:r>
          </w:p>
        </w:tc>
      </w:tr>
      <w:tr w:rsidR="003D2277" w:rsidRPr="004B643F" w14:paraId="7CFCF9A0" w14:textId="77777777" w:rsidTr="001E7E58">
        <w:tc>
          <w:tcPr>
            <w:tcW w:w="8620" w:type="dxa"/>
          </w:tcPr>
          <w:p w14:paraId="7405CC2F" w14:textId="6641909D" w:rsidR="003D2277" w:rsidRPr="004B643F" w:rsidRDefault="00BB3611" w:rsidP="001E7E58">
            <w:pPr>
              <w:jc w:val="both"/>
              <w:rPr>
                <w:rFonts w:eastAsia="Calibri" w:cstheme="minorHAnsi"/>
                <w:bCs/>
                <w:i/>
                <w:iCs/>
                <w:color w:val="000000" w:themeColor="text1"/>
                <w:sz w:val="20"/>
                <w:szCs w:val="20"/>
                <w:lang w:val="en-GB"/>
              </w:rPr>
            </w:pPr>
            <w:r w:rsidRPr="004B643F">
              <w:rPr>
                <w:rFonts w:cstheme="minorHAnsi"/>
                <w:bCs/>
                <w:i/>
                <w:iCs/>
                <w:color w:val="000000" w:themeColor="text1"/>
                <w:sz w:val="20"/>
                <w:szCs w:val="20"/>
                <w:lang w:val="en-GB"/>
              </w:rPr>
              <w:t>1.3</w:t>
            </w:r>
            <w:r w:rsidR="002D2D86" w:rsidRPr="004B643F">
              <w:rPr>
                <w:rFonts w:cstheme="minorHAnsi"/>
                <w:bCs/>
                <w:i/>
                <w:iCs/>
                <w:color w:val="000000" w:themeColor="text1"/>
                <w:sz w:val="20"/>
                <w:szCs w:val="20"/>
                <w:lang w:val="en-GB"/>
              </w:rPr>
              <w:t xml:space="preserve"> Global Financial Markets ...........................................................</w:t>
            </w:r>
            <w:r w:rsidR="003D2277" w:rsidRPr="004B643F">
              <w:rPr>
                <w:rFonts w:eastAsia="Calibri" w:cstheme="minorHAnsi"/>
                <w:bCs/>
                <w:i/>
                <w:iCs/>
                <w:color w:val="000000" w:themeColor="text1"/>
                <w:sz w:val="20"/>
                <w:szCs w:val="20"/>
                <w:lang w:val="en-GB"/>
              </w:rPr>
              <w:t>......................................................</w:t>
            </w:r>
            <w:r w:rsidR="00E96D9D">
              <w:rPr>
                <w:rFonts w:eastAsia="Calibri" w:cstheme="minorHAnsi"/>
                <w:bCs/>
                <w:i/>
                <w:iCs/>
                <w:color w:val="000000" w:themeColor="text1"/>
                <w:sz w:val="20"/>
                <w:szCs w:val="20"/>
                <w:lang w:val="en-GB"/>
              </w:rPr>
              <w:t>......</w:t>
            </w:r>
          </w:p>
        </w:tc>
        <w:tc>
          <w:tcPr>
            <w:tcW w:w="447" w:type="dxa"/>
          </w:tcPr>
          <w:p w14:paraId="1D7718BE" w14:textId="10F9BAC0" w:rsidR="003D2277" w:rsidRPr="004B643F" w:rsidRDefault="003B1F10" w:rsidP="001E7E58">
            <w:pPr>
              <w:pStyle w:val="MacroGeo"/>
              <w:rPr>
                <w:rFonts w:asciiTheme="minorHAnsi" w:hAnsiTheme="minorHAnsi" w:cstheme="minorHAnsi"/>
                <w:b w:val="0"/>
                <w:bCs/>
                <w:i/>
                <w:iCs/>
                <w:color w:val="auto"/>
                <w:sz w:val="20"/>
                <w:szCs w:val="20"/>
                <w:lang w:val="en-GB"/>
              </w:rPr>
            </w:pPr>
            <w:r>
              <w:rPr>
                <w:rFonts w:asciiTheme="minorHAnsi" w:hAnsiTheme="minorHAnsi" w:cstheme="minorHAnsi"/>
                <w:b w:val="0"/>
                <w:bCs/>
                <w:i/>
                <w:iCs/>
                <w:color w:val="auto"/>
                <w:sz w:val="20"/>
                <w:szCs w:val="20"/>
                <w:lang w:val="en-GB"/>
              </w:rPr>
              <w:t>5</w:t>
            </w:r>
          </w:p>
        </w:tc>
      </w:tr>
      <w:tr w:rsidR="0078789D" w:rsidRPr="0078789D" w14:paraId="310C910D" w14:textId="77777777" w:rsidTr="001E7E58">
        <w:tc>
          <w:tcPr>
            <w:tcW w:w="8620" w:type="dxa"/>
          </w:tcPr>
          <w:p w14:paraId="03BB03A2" w14:textId="6B7D881E" w:rsidR="0078789D" w:rsidRPr="0078789D" w:rsidRDefault="0078789D" w:rsidP="001E7E58">
            <w:pPr>
              <w:jc w:val="both"/>
              <w:rPr>
                <w:rFonts w:cstheme="minorHAnsi"/>
                <w:b/>
                <w:color w:val="000000" w:themeColor="text1"/>
                <w:sz w:val="20"/>
                <w:szCs w:val="20"/>
              </w:rPr>
            </w:pPr>
            <w:r w:rsidRPr="0078789D">
              <w:rPr>
                <w:rFonts w:cstheme="minorHAnsi"/>
                <w:b/>
                <w:color w:val="000000" w:themeColor="text1"/>
                <w:sz w:val="20"/>
                <w:szCs w:val="20"/>
              </w:rPr>
              <w:t>APPENDIX ............................................................................................................................................</w:t>
            </w:r>
          </w:p>
        </w:tc>
        <w:tc>
          <w:tcPr>
            <w:tcW w:w="447" w:type="dxa"/>
          </w:tcPr>
          <w:p w14:paraId="388713BA" w14:textId="6FB26386" w:rsidR="0078789D" w:rsidRPr="0078789D" w:rsidRDefault="00A07610" w:rsidP="001E7E58">
            <w:pPr>
              <w:pStyle w:val="MacroGeo"/>
              <w:rPr>
                <w:rFonts w:asciiTheme="minorHAnsi" w:hAnsiTheme="minorHAnsi" w:cstheme="minorHAnsi"/>
                <w:color w:val="auto"/>
                <w:sz w:val="20"/>
                <w:szCs w:val="20"/>
              </w:rPr>
            </w:pPr>
            <w:r>
              <w:rPr>
                <w:rFonts w:asciiTheme="minorHAnsi" w:hAnsiTheme="minorHAnsi" w:cstheme="minorHAnsi"/>
                <w:color w:val="auto"/>
                <w:sz w:val="20"/>
                <w:szCs w:val="20"/>
              </w:rPr>
              <w:t>7</w:t>
            </w:r>
          </w:p>
        </w:tc>
      </w:tr>
      <w:tr w:rsidR="003D2277" w:rsidRPr="005B1B96" w14:paraId="0EE5253F" w14:textId="77777777" w:rsidTr="001E7E58">
        <w:tc>
          <w:tcPr>
            <w:tcW w:w="8620" w:type="dxa"/>
          </w:tcPr>
          <w:p w14:paraId="1476E839" w14:textId="4F78A590" w:rsidR="003D2277" w:rsidRPr="005B1B96" w:rsidRDefault="002D2D86" w:rsidP="001E7E58">
            <w:pPr>
              <w:pStyle w:val="MacroGeo"/>
              <w:spacing w:after="80"/>
              <w:rPr>
                <w:rFonts w:asciiTheme="minorHAnsi" w:hAnsiTheme="minorHAnsi" w:cstheme="minorHAnsi"/>
                <w:color w:val="auto"/>
                <w:sz w:val="20"/>
                <w:szCs w:val="20"/>
                <w:lang w:val="en-GB"/>
              </w:rPr>
            </w:pPr>
            <w:r>
              <w:rPr>
                <w:rFonts w:asciiTheme="minorHAnsi" w:hAnsiTheme="minorHAnsi" w:cstheme="minorHAnsi"/>
                <w:color w:val="auto"/>
                <w:sz w:val="20"/>
                <w:szCs w:val="20"/>
                <w:lang w:val="en-GB"/>
              </w:rPr>
              <w:t>NOTES .......</w:t>
            </w:r>
            <w:r w:rsidR="003D2277" w:rsidRPr="005B1B96">
              <w:rPr>
                <w:rFonts w:asciiTheme="minorHAnsi" w:hAnsiTheme="minorHAnsi" w:cstheme="minorHAnsi"/>
                <w:color w:val="auto"/>
                <w:sz w:val="20"/>
                <w:szCs w:val="20"/>
                <w:lang w:val="en-GB"/>
              </w:rPr>
              <w:t>……………………………………………………………………………………………………………………………………</w:t>
            </w:r>
            <w:proofErr w:type="gramStart"/>
            <w:r w:rsidR="003D2277" w:rsidRPr="005B1B96">
              <w:rPr>
                <w:rFonts w:asciiTheme="minorHAnsi" w:hAnsiTheme="minorHAnsi" w:cstheme="minorHAnsi"/>
                <w:color w:val="auto"/>
                <w:sz w:val="20"/>
                <w:szCs w:val="20"/>
                <w:lang w:val="en-GB"/>
              </w:rPr>
              <w:t>…..</w:t>
            </w:r>
            <w:proofErr w:type="gramEnd"/>
          </w:p>
        </w:tc>
        <w:tc>
          <w:tcPr>
            <w:tcW w:w="447" w:type="dxa"/>
          </w:tcPr>
          <w:p w14:paraId="30B79BEA" w14:textId="47327D76" w:rsidR="003D2277" w:rsidRPr="005B1B96" w:rsidRDefault="00A07610" w:rsidP="001E7E58">
            <w:pPr>
              <w:pStyle w:val="MacroGeo"/>
              <w:rPr>
                <w:rFonts w:asciiTheme="minorHAnsi" w:hAnsiTheme="minorHAnsi" w:cstheme="minorHAnsi"/>
                <w:color w:val="auto"/>
                <w:sz w:val="20"/>
                <w:szCs w:val="20"/>
                <w:lang w:val="en-GB"/>
              </w:rPr>
            </w:pPr>
            <w:r>
              <w:rPr>
                <w:rFonts w:asciiTheme="minorHAnsi" w:hAnsiTheme="minorHAnsi" w:cstheme="minorHAnsi"/>
                <w:color w:val="auto"/>
                <w:sz w:val="20"/>
                <w:szCs w:val="20"/>
                <w:lang w:val="en-GB"/>
              </w:rPr>
              <w:t>8</w:t>
            </w:r>
          </w:p>
        </w:tc>
      </w:tr>
    </w:tbl>
    <w:p w14:paraId="07D28F12" w14:textId="77777777" w:rsidR="003D2277" w:rsidRDefault="003D2277" w:rsidP="003D2277">
      <w:pPr>
        <w:pStyle w:val="MacroGeo"/>
      </w:pPr>
    </w:p>
    <w:p w14:paraId="33C76D52" w14:textId="77777777" w:rsidR="003D2277" w:rsidRDefault="003D2277" w:rsidP="003D2277">
      <w:pPr>
        <w:pStyle w:val="MacroGeo"/>
        <w:jc w:val="center"/>
      </w:pPr>
    </w:p>
    <w:p w14:paraId="282D441A" w14:textId="77777777" w:rsidR="00BB3611" w:rsidRDefault="00BB3611" w:rsidP="003D2277">
      <w:pPr>
        <w:pStyle w:val="MacroGeo"/>
        <w:jc w:val="center"/>
      </w:pPr>
    </w:p>
    <w:p w14:paraId="5B3CBE61" w14:textId="77777777" w:rsidR="00DC4467" w:rsidRDefault="00DC4467" w:rsidP="003D2277">
      <w:pPr>
        <w:pStyle w:val="MacroGeo"/>
        <w:jc w:val="center"/>
      </w:pPr>
    </w:p>
    <w:p w14:paraId="04B9BD15" w14:textId="77777777" w:rsidR="003D2277" w:rsidRDefault="003D2277" w:rsidP="003D2277">
      <w:pPr>
        <w:pStyle w:val="MacroGeo"/>
        <w:jc w:val="center"/>
      </w:pPr>
    </w:p>
    <w:p w14:paraId="64977D62" w14:textId="77777777" w:rsidR="003D2277" w:rsidRDefault="003D2277" w:rsidP="003D2277">
      <w:pPr>
        <w:pStyle w:val="MacroGeo"/>
        <w:jc w:val="center"/>
      </w:pPr>
      <w:r>
        <w:rPr>
          <w:i/>
          <w:noProof/>
          <w:sz w:val="16"/>
          <w:szCs w:val="16"/>
        </w:rPr>
        <mc:AlternateContent>
          <mc:Choice Requires="wps">
            <w:drawing>
              <wp:anchor distT="0" distB="0" distL="114300" distR="114300" simplePos="0" relativeHeight="251659264" behindDoc="0" locked="0" layoutInCell="1" allowOverlap="1" wp14:anchorId="0B318877" wp14:editId="064CFA27">
                <wp:simplePos x="0" y="0"/>
                <wp:positionH relativeFrom="column">
                  <wp:posOffset>373380</wp:posOffset>
                </wp:positionH>
                <wp:positionV relativeFrom="paragraph">
                  <wp:posOffset>202565</wp:posOffset>
                </wp:positionV>
                <wp:extent cx="1784350" cy="0"/>
                <wp:effectExtent l="0" t="0" r="0" b="0"/>
                <wp:wrapNone/>
                <wp:docPr id="21" name="Straight Connector 21"/>
                <wp:cNvGraphicFramePr/>
                <a:graphic xmlns:a="http://schemas.openxmlformats.org/drawingml/2006/main">
                  <a:graphicData uri="http://schemas.microsoft.com/office/word/2010/wordprocessingShape">
                    <wps:wsp>
                      <wps:cNvCnPr/>
                      <wps:spPr>
                        <a:xfrm flipV="1">
                          <a:off x="0" y="0"/>
                          <a:ext cx="1784350" cy="0"/>
                        </a:xfrm>
                        <a:prstGeom prst="line">
                          <a:avLst/>
                        </a:prstGeom>
                        <a:ln w="12700">
                          <a:solidFill>
                            <a:srgbClr val="0070C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4A7B29FC" id="Straight Connector 2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pt,15.95pt" to="169.9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" strokecolor="#0070c0" strokeweight="1pt">
                <v:stroke joinstyle="miter"/>
              </v:line>
            </w:pict>
          </mc:Fallback>
        </mc:AlternateContent>
      </w:r>
      <w:r>
        <w:rPr>
          <w:i/>
          <w:noProof/>
          <w:sz w:val="16"/>
          <w:szCs w:val="16"/>
        </w:rPr>
        <mc:AlternateContent>
          <mc:Choice Requires="wps">
            <w:drawing>
              <wp:anchor distT="0" distB="0" distL="114300" distR="114300" simplePos="0" relativeHeight="251660288" behindDoc="0" locked="0" layoutInCell="1" allowOverlap="1" wp14:anchorId="52255121" wp14:editId="7CA64A35">
                <wp:simplePos x="0" y="0"/>
                <wp:positionH relativeFrom="column">
                  <wp:posOffset>3542665</wp:posOffset>
                </wp:positionH>
                <wp:positionV relativeFrom="paragraph">
                  <wp:posOffset>195580</wp:posOffset>
                </wp:positionV>
                <wp:extent cx="1784350" cy="0"/>
                <wp:effectExtent l="0" t="0" r="0" b="0"/>
                <wp:wrapNone/>
                <wp:docPr id="22" name="Straight Connector 22"/>
                <wp:cNvGraphicFramePr/>
                <a:graphic xmlns:a="http://schemas.openxmlformats.org/drawingml/2006/main">
                  <a:graphicData uri="http://schemas.microsoft.com/office/word/2010/wordprocessingShape">
                    <wps:wsp>
                      <wps:cNvCnPr/>
                      <wps:spPr>
                        <a:xfrm flipV="1">
                          <a:off x="0" y="0"/>
                          <a:ext cx="1784350" cy="0"/>
                        </a:xfrm>
                        <a:prstGeom prst="line">
                          <a:avLst/>
                        </a:prstGeom>
                        <a:ln w="12700">
                          <a:solidFill>
                            <a:srgbClr val="0070C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51BA9A5C" id="Straight Connector 2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95pt,15.4pt" to="419.4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" strokecolor="#0070c0" strokeweight="1pt">
                <v:stroke joinstyle="miter"/>
              </v:line>
            </w:pict>
          </mc:Fallback>
        </mc:AlternateContent>
      </w:r>
      <w:r>
        <w:rPr>
          <w:noProof/>
        </w:rPr>
        <w:drawing>
          <wp:inline distT="0" distB="0" distL="0" distR="0" wp14:anchorId="1279D0B0" wp14:editId="6647A61C">
            <wp:extent cx="904889" cy="436910"/>
            <wp:effectExtent l="0" t="0" r="0" b="1270"/>
            <wp:docPr id="1607343174" name="Picture 1" descr="A logo with a colorful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3342" name="Picture 1" descr="A logo with a colorful design&#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1577" cy="464281"/>
                    </a:xfrm>
                    <a:prstGeom prst="rect">
                      <a:avLst/>
                    </a:prstGeom>
                    <a:noFill/>
                    <a:ln>
                      <a:noFill/>
                    </a:ln>
                  </pic:spPr>
                </pic:pic>
              </a:graphicData>
            </a:graphic>
          </wp:inline>
        </w:drawing>
      </w:r>
    </w:p>
    <w:p w14:paraId="22B1FFA1" w14:textId="77777777" w:rsidR="003D2277" w:rsidRPr="00CF2EEA" w:rsidRDefault="003D2277" w:rsidP="003D2277">
      <w:pPr>
        <w:jc w:val="both"/>
        <w:rPr>
          <w:i/>
          <w:sz w:val="16"/>
          <w:szCs w:val="16"/>
        </w:rPr>
      </w:pPr>
      <w:r w:rsidRPr="003D4F84">
        <w:rPr>
          <w:i/>
          <w:sz w:val="16"/>
          <w:szCs w:val="16"/>
        </w:rPr>
        <w:t>Rosa &amp; Roubini Associates Ltd is a private limited company registered in England and Wales (Registration number: 10975116) with registered office at 118 Pall Mall, St. James’s, London SW1Y 5ED, United Kingdom</w:t>
      </w:r>
      <w:r w:rsidRPr="00CF2EEA">
        <w:rPr>
          <w:i/>
          <w:sz w:val="16"/>
          <w:szCs w:val="16"/>
        </w:rPr>
        <w:t>.</w:t>
      </w:r>
    </w:p>
    <w:p w14:paraId="21A893F7" w14:textId="77777777" w:rsidR="003D2277" w:rsidRPr="00CF2EEA" w:rsidRDefault="003D2277" w:rsidP="003D2277">
      <w:pPr>
        <w:jc w:val="both"/>
        <w:rPr>
          <w:i/>
          <w:sz w:val="16"/>
          <w:szCs w:val="16"/>
        </w:rPr>
      </w:pPr>
      <w:r w:rsidRPr="00CF2EEA">
        <w:rPr>
          <w:i/>
          <w:sz w:val="16"/>
          <w:szCs w:val="16"/>
        </w:rPr>
        <w:t xml:space="preserve">For information about </w:t>
      </w:r>
      <w:proofErr w:type="spellStart"/>
      <w:r w:rsidRPr="00CF2EEA">
        <w:rPr>
          <w:i/>
          <w:sz w:val="16"/>
          <w:szCs w:val="16"/>
        </w:rPr>
        <w:t>Rosa&amp;Roubini</w:t>
      </w:r>
      <w:proofErr w:type="spellEnd"/>
      <w:r w:rsidRPr="00CF2EEA">
        <w:rPr>
          <w:i/>
          <w:sz w:val="16"/>
          <w:szCs w:val="16"/>
        </w:rPr>
        <w:t xml:space="preserve"> Associates, please send an email to info@rosa-roubini-associates.com or call +44 (0)20 7101 0718.</w:t>
      </w:r>
    </w:p>
    <w:p w14:paraId="5B41215A" w14:textId="71CE6A0B" w:rsidR="003D2277" w:rsidRPr="003D4F84" w:rsidRDefault="003D2277" w:rsidP="003D2277">
      <w:pPr>
        <w:jc w:val="both"/>
        <w:rPr>
          <w:i/>
          <w:sz w:val="16"/>
          <w:szCs w:val="16"/>
        </w:rPr>
      </w:pPr>
      <w:r w:rsidRPr="003D4F84">
        <w:rPr>
          <w:b/>
          <w:i/>
          <w:sz w:val="16"/>
          <w:szCs w:val="16"/>
        </w:rPr>
        <w:t>Analyst Certification</w:t>
      </w:r>
      <w:r w:rsidRPr="00364FE7">
        <w:rPr>
          <w:i/>
          <w:sz w:val="16"/>
          <w:szCs w:val="16"/>
        </w:rPr>
        <w:t xml:space="preserve">: </w:t>
      </w:r>
      <w:r>
        <w:rPr>
          <w:i/>
          <w:sz w:val="16"/>
          <w:szCs w:val="16"/>
        </w:rPr>
        <w:t>I</w:t>
      </w:r>
      <w:r w:rsidRPr="00364FE7">
        <w:rPr>
          <w:i/>
          <w:sz w:val="16"/>
          <w:szCs w:val="16"/>
        </w:rPr>
        <w:t xml:space="preserve">, </w:t>
      </w:r>
      <w:r w:rsidR="00D92C11">
        <w:rPr>
          <w:i/>
          <w:sz w:val="16"/>
          <w:szCs w:val="16"/>
        </w:rPr>
        <w:t xml:space="preserve">Lāsma </w:t>
      </w:r>
      <w:proofErr w:type="spellStart"/>
      <w:r w:rsidR="00D92C11">
        <w:rPr>
          <w:i/>
          <w:sz w:val="16"/>
          <w:szCs w:val="16"/>
        </w:rPr>
        <w:t>Kokina</w:t>
      </w:r>
      <w:proofErr w:type="spellEnd"/>
      <w:r w:rsidRPr="00364FE7">
        <w:rPr>
          <w:i/>
          <w:sz w:val="16"/>
          <w:szCs w:val="16"/>
        </w:rPr>
        <w:t xml:space="preserve">, hereby certify that all the views expressed in this report reflect </w:t>
      </w:r>
      <w:r>
        <w:rPr>
          <w:i/>
          <w:sz w:val="16"/>
          <w:szCs w:val="16"/>
        </w:rPr>
        <w:t>my</w:t>
      </w:r>
      <w:r w:rsidR="004B643F">
        <w:rPr>
          <w:i/>
          <w:sz w:val="16"/>
          <w:szCs w:val="16"/>
        </w:rPr>
        <w:t xml:space="preserve"> </w:t>
      </w:r>
      <w:proofErr w:type="gramStart"/>
      <w:r w:rsidRPr="00364FE7">
        <w:rPr>
          <w:i/>
          <w:sz w:val="16"/>
          <w:szCs w:val="16"/>
        </w:rPr>
        <w:t>personal opinion</w:t>
      </w:r>
      <w:proofErr w:type="gramEnd"/>
      <w:r w:rsidRPr="00364FE7">
        <w:rPr>
          <w:i/>
          <w:sz w:val="16"/>
          <w:szCs w:val="16"/>
        </w:rPr>
        <w:t xml:space="preserve">, which has not been influenced by considerations of Rosa &amp; Roubini Associates’ business, nor by personal or client relationships. </w:t>
      </w:r>
      <w:r>
        <w:rPr>
          <w:i/>
          <w:sz w:val="16"/>
          <w:szCs w:val="16"/>
        </w:rPr>
        <w:t>I</w:t>
      </w:r>
      <w:r w:rsidRPr="00364FE7">
        <w:rPr>
          <w:i/>
          <w:sz w:val="16"/>
          <w:szCs w:val="16"/>
        </w:rPr>
        <w:t xml:space="preserve"> also certify that no part of </w:t>
      </w:r>
      <w:r>
        <w:rPr>
          <w:i/>
          <w:sz w:val="16"/>
          <w:szCs w:val="16"/>
        </w:rPr>
        <w:t>my</w:t>
      </w:r>
      <w:r w:rsidRPr="00364FE7">
        <w:rPr>
          <w:i/>
          <w:sz w:val="16"/>
          <w:szCs w:val="16"/>
        </w:rPr>
        <w:t xml:space="preserve"> compensation was, is or will be, directly or indirectly, related to the views expressed in this report.</w:t>
      </w:r>
    </w:p>
    <w:p w14:paraId="6CA9637E" w14:textId="77777777" w:rsidR="003D2277" w:rsidRPr="00D20724" w:rsidRDefault="003D2277" w:rsidP="003D2277">
      <w:pPr>
        <w:jc w:val="both"/>
        <w:rPr>
          <w:i/>
        </w:rPr>
      </w:pPr>
      <w:r w:rsidRPr="003D4F84">
        <w:rPr>
          <w:b/>
          <w:i/>
          <w:sz w:val="16"/>
          <w:szCs w:val="16"/>
        </w:rPr>
        <w:t>Disclaimer</w:t>
      </w:r>
      <w:r w:rsidRPr="003D4F84">
        <w:rPr>
          <w:i/>
          <w:sz w:val="16"/>
          <w:szCs w:val="16"/>
        </w:rPr>
        <w:t xml:space="preserve">: All material presented in this report is provided by Rosa &amp; Roubini Associates-Limited for informational purposes only and is not to be used or considered as an offer or a solicitation to sell or to buy, or subscribe for securities, investment products or other financial instruments. Rosa &amp; Roubini Associates Limited does not conduct “investment research” as defined in the FCA Conduct of Business Sourcebook (COBS) section 12 nor does it provide “advice about securities” as defined in the Regulation of Investment Advisors by the U.S. SEC. Rosa &amp; Roubini Associates Limited is not regulated by the FCA, SEC or by any other regulatory body. Nothing in this report shall be deemed to constitute financial or other professional advice in any way, and under no circumstances shall we be liable for any direct or indirect losses, </w:t>
      </w:r>
      <w:proofErr w:type="gramStart"/>
      <w:r w:rsidRPr="003D4F84">
        <w:rPr>
          <w:i/>
          <w:sz w:val="16"/>
          <w:szCs w:val="16"/>
        </w:rPr>
        <w:t>costs</w:t>
      </w:r>
      <w:proofErr w:type="gramEnd"/>
      <w:r w:rsidRPr="003D4F84">
        <w:rPr>
          <w:i/>
          <w:sz w:val="16"/>
          <w:szCs w:val="16"/>
        </w:rPr>
        <w:t xml:space="preserve"> or expenses nor for any loss of profit that results from the content of this report or any material in it or website links or references embedded within it. The price and value of financial instruments, securities and investment products referred to in this research and the income from them may fluctuate. Past performance and forecasts should not be treated as a reliable guide of future performance or results; future returns are not guaranteed; and a loss of original capital may occur. This research is based on current public information that Rosa &amp; Roubini Associates considers reliable, but we do not represent it is accurate or complete, and it should not be relied on as such. Rosa &amp; Roubini Associates, its contributors, </w:t>
      </w:r>
      <w:proofErr w:type="gramStart"/>
      <w:r w:rsidRPr="003D4F84">
        <w:rPr>
          <w:i/>
          <w:sz w:val="16"/>
          <w:szCs w:val="16"/>
        </w:rPr>
        <w:t>partners</w:t>
      </w:r>
      <w:proofErr w:type="gramEnd"/>
      <w:r w:rsidRPr="003D4F84">
        <w:rPr>
          <w:i/>
          <w:sz w:val="16"/>
          <w:szCs w:val="16"/>
        </w:rPr>
        <w:t xml:space="preserve"> and employees make no representation about the completeness or accuracy of the data, calculations, information or opinions contained in this report. Rosa &amp; Roubini Associates has an internal policy designed to minimize the risk of receiving or misusing confidential or potentially material non-public information. We seek to update our research as appropriate, but </w:t>
      </w:r>
      <w:proofErr w:type="gramStart"/>
      <w:r w:rsidRPr="003D4F84">
        <w:rPr>
          <w:i/>
          <w:sz w:val="16"/>
          <w:szCs w:val="16"/>
        </w:rPr>
        <w:t>the large majority of</w:t>
      </w:r>
      <w:proofErr w:type="gramEnd"/>
      <w:r w:rsidRPr="003D4F84">
        <w:rPr>
          <w:i/>
          <w:sz w:val="16"/>
          <w:szCs w:val="16"/>
        </w:rPr>
        <w:t xml:space="preserve"> reports are published at irregular intervals as appropriate in the author's judgment. The information, opinions, </w:t>
      </w:r>
      <w:proofErr w:type="gramStart"/>
      <w:r w:rsidRPr="003D4F84">
        <w:rPr>
          <w:i/>
          <w:sz w:val="16"/>
          <w:szCs w:val="16"/>
        </w:rPr>
        <w:t>estimates</w:t>
      </w:r>
      <w:proofErr w:type="gramEnd"/>
      <w:r w:rsidRPr="003D4F84">
        <w:rPr>
          <w:i/>
          <w:sz w:val="16"/>
          <w:szCs w:val="16"/>
        </w:rPr>
        <w:t xml:space="preserve"> and forecasts contained herein are as of the date hereof and may be changed without prior notification. This research is for our clients only and is disseminated and available to all clients simultaneously through electronic publication. Rosa &amp; Roubini Associates is not responsible for the redistribution of our research by third party aggregators. This report is not directed to you if Rosa &amp; Roubini Associates is barred from doing so in your jurisdiction. This report and its content cannot be copied, </w:t>
      </w:r>
      <w:proofErr w:type="gramStart"/>
      <w:r w:rsidRPr="003D4F84">
        <w:rPr>
          <w:i/>
          <w:sz w:val="16"/>
          <w:szCs w:val="16"/>
        </w:rPr>
        <w:t>redistributed</w:t>
      </w:r>
      <w:proofErr w:type="gramEnd"/>
      <w:r w:rsidRPr="003D4F84">
        <w:rPr>
          <w:i/>
          <w:sz w:val="16"/>
          <w:szCs w:val="16"/>
        </w:rPr>
        <w:t xml:space="preserve"> or reproduced in part or whole without Rosa &amp; Roubini</w:t>
      </w:r>
      <w:r>
        <w:rPr>
          <w:i/>
          <w:sz w:val="16"/>
          <w:szCs w:val="16"/>
        </w:rPr>
        <w:t xml:space="preserve"> </w:t>
      </w:r>
      <w:r w:rsidRPr="003D4F84">
        <w:rPr>
          <w:i/>
          <w:sz w:val="16"/>
          <w:szCs w:val="16"/>
        </w:rPr>
        <w:t>Associates’ written permission</w:t>
      </w:r>
      <w:r w:rsidRPr="00CF2EEA">
        <w:rPr>
          <w:i/>
          <w:sz w:val="16"/>
          <w:szCs w:val="16"/>
        </w:rPr>
        <w:t>.</w:t>
      </w:r>
    </w:p>
    <w:p w14:paraId="2FFDFBED" w14:textId="77777777" w:rsidR="00D92C11" w:rsidRDefault="00D92C11" w:rsidP="003D2277">
      <w:pPr>
        <w:jc w:val="center"/>
        <w:rPr>
          <w:rFonts w:cstheme="minorHAnsi"/>
          <w:b/>
          <w:color w:val="C45911" w:themeColor="accent2" w:themeShade="BF"/>
          <w:sz w:val="20"/>
          <w:szCs w:val="20"/>
        </w:rPr>
      </w:pPr>
      <w:r>
        <w:rPr>
          <w:rFonts w:cstheme="minorHAnsi"/>
          <w:b/>
          <w:color w:val="C45911" w:themeColor="accent2" w:themeShade="BF"/>
          <w:sz w:val="20"/>
          <w:szCs w:val="20"/>
        </w:rPr>
        <w:lastRenderedPageBreak/>
        <w:t xml:space="preserve">Lāsma </w:t>
      </w:r>
      <w:proofErr w:type="spellStart"/>
      <w:r>
        <w:rPr>
          <w:rFonts w:cstheme="minorHAnsi"/>
          <w:b/>
          <w:color w:val="C45911" w:themeColor="accent2" w:themeShade="BF"/>
          <w:sz w:val="20"/>
          <w:szCs w:val="20"/>
        </w:rPr>
        <w:t>Kokina</w:t>
      </w:r>
      <w:proofErr w:type="spellEnd"/>
      <w:r>
        <w:rPr>
          <w:rFonts w:cstheme="minorHAnsi"/>
          <w:b/>
          <w:color w:val="C45911" w:themeColor="accent2" w:themeShade="BF"/>
          <w:sz w:val="20"/>
          <w:szCs w:val="20"/>
        </w:rPr>
        <w:t xml:space="preserve"> </w:t>
      </w:r>
    </w:p>
    <w:p w14:paraId="1D4FBBA0" w14:textId="4F94BB8F" w:rsidR="00D92C11" w:rsidRPr="00DC4467" w:rsidRDefault="00D92C11" w:rsidP="003D2277">
      <w:pPr>
        <w:jc w:val="center"/>
        <w:rPr>
          <w:rFonts w:cstheme="minorHAnsi"/>
          <w:b/>
          <w:i/>
          <w:iCs/>
          <w:color w:val="C45911" w:themeColor="accent2" w:themeShade="BF"/>
          <w:sz w:val="20"/>
          <w:szCs w:val="20"/>
        </w:rPr>
      </w:pPr>
      <w:r w:rsidRPr="00DC4467">
        <w:rPr>
          <w:rFonts w:cstheme="minorHAnsi"/>
          <w:b/>
          <w:i/>
          <w:iCs/>
          <w:color w:val="C45911" w:themeColor="accent2" w:themeShade="BF"/>
          <w:sz w:val="20"/>
          <w:szCs w:val="20"/>
        </w:rPr>
        <w:t xml:space="preserve">Tariffs, Uncertainty, and Recession Fears: Inside the IMF’s Latest Forecast </w:t>
      </w:r>
    </w:p>
    <w:p w14:paraId="5EDBB413" w14:textId="35C31847" w:rsidR="00D92C11" w:rsidRDefault="00DC4467" w:rsidP="003D2277">
      <w:pPr>
        <w:jc w:val="center"/>
        <w:rPr>
          <w:rFonts w:cstheme="minorHAnsi"/>
          <w:b/>
          <w:color w:val="C45911" w:themeColor="accent2" w:themeShade="BF"/>
          <w:sz w:val="20"/>
          <w:szCs w:val="20"/>
        </w:rPr>
      </w:pPr>
      <w:r>
        <w:rPr>
          <w:rFonts w:cstheme="minorHAnsi"/>
          <w:b/>
          <w:color w:val="C45911" w:themeColor="accent2" w:themeShade="BF"/>
          <w:sz w:val="20"/>
          <w:szCs w:val="20"/>
        </w:rPr>
        <w:t>20 May 2025</w:t>
      </w:r>
    </w:p>
    <w:p w14:paraId="432B8056" w14:textId="75649D93" w:rsidR="003D2277" w:rsidRPr="00CF2EEA" w:rsidRDefault="003D2277" w:rsidP="003D2277">
      <w:pPr>
        <w:jc w:val="center"/>
        <w:rPr>
          <w:rFonts w:cstheme="minorHAnsi"/>
          <w:b/>
          <w:color w:val="C45911" w:themeColor="accent2" w:themeShade="BF"/>
          <w:sz w:val="20"/>
          <w:szCs w:val="20"/>
        </w:rPr>
      </w:pPr>
      <w:r>
        <w:rPr>
          <w:rFonts w:cstheme="minorHAnsi"/>
          <w:b/>
          <w:color w:val="C45911" w:themeColor="accent2" w:themeShade="BF"/>
          <w:sz w:val="20"/>
          <w:szCs w:val="20"/>
        </w:rPr>
        <w:t>Executive Summary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
        <w:gridCol w:w="8530"/>
      </w:tblGrid>
      <w:tr w:rsidR="003D2277" w:rsidRPr="005E4F81" w14:paraId="0504D8AE" w14:textId="77777777" w:rsidTr="001E7E58">
        <w:tc>
          <w:tcPr>
            <w:tcW w:w="378" w:type="dxa"/>
          </w:tcPr>
          <w:p w14:paraId="5D4D38E4" w14:textId="77777777" w:rsidR="003D2277" w:rsidRPr="005E4F81" w:rsidRDefault="003D2277" w:rsidP="001E7E58">
            <w:pPr>
              <w:spacing w:after="60" w:line="276" w:lineRule="auto"/>
              <w:rPr>
                <w:rFonts w:ascii="Cambria Math" w:hAnsi="Cambria Math" w:cs="Cambria Math"/>
                <w:b/>
                <w:color w:val="C45911" w:themeColor="accent2" w:themeShade="BF"/>
                <w:sz w:val="20"/>
                <w:szCs w:val="20"/>
                <w:lang w:val="en-GB"/>
              </w:rPr>
            </w:pPr>
            <w:r w:rsidRPr="005E4F81">
              <w:rPr>
                <w:rFonts w:ascii="Cambria Math" w:hAnsi="Cambria Math" w:cs="Cambria Math"/>
                <w:b/>
                <w:color w:val="C45911" w:themeColor="accent2" w:themeShade="BF"/>
                <w:sz w:val="20"/>
                <w:szCs w:val="20"/>
                <w:lang w:val="en-GB"/>
              </w:rPr>
              <w:t>⦠</w:t>
            </w:r>
          </w:p>
        </w:tc>
        <w:tc>
          <w:tcPr>
            <w:tcW w:w="8530" w:type="dxa"/>
          </w:tcPr>
          <w:p w14:paraId="768C722B" w14:textId="0B36DC59" w:rsidR="003D2277" w:rsidRPr="00557650" w:rsidRDefault="00DD3AC1" w:rsidP="003B1F10">
            <w:pPr>
              <w:spacing w:after="40" w:line="276" w:lineRule="auto"/>
              <w:jc w:val="both"/>
              <w:rPr>
                <w:rFonts w:cstheme="minorHAnsi"/>
                <w:bCs/>
                <w:sz w:val="20"/>
                <w:szCs w:val="20"/>
                <w:lang w:val="en-GB"/>
              </w:rPr>
            </w:pPr>
            <w:r w:rsidRPr="00DD3AC1">
              <w:rPr>
                <w:rFonts w:cstheme="minorHAnsi"/>
                <w:bCs/>
                <w:sz w:val="20"/>
                <w:szCs w:val="20"/>
                <w:lang w:val="en-GB"/>
              </w:rPr>
              <w:t>The IMF significantly downgraded growth forecasts for major economies, with the UK receiving the sharpest revision among European countries.</w:t>
            </w:r>
          </w:p>
        </w:tc>
      </w:tr>
      <w:tr w:rsidR="003D2277" w:rsidRPr="005E4F81" w14:paraId="31ACA019" w14:textId="77777777" w:rsidTr="001E7E58">
        <w:tc>
          <w:tcPr>
            <w:tcW w:w="378" w:type="dxa"/>
          </w:tcPr>
          <w:p w14:paraId="25F944D5" w14:textId="77777777" w:rsidR="003D2277" w:rsidRPr="005E4F81" w:rsidRDefault="003D2277" w:rsidP="001E7E58">
            <w:pPr>
              <w:spacing w:after="60" w:line="276" w:lineRule="auto"/>
              <w:rPr>
                <w:rFonts w:ascii="Cambria Math" w:hAnsi="Cambria Math" w:cs="Cambria Math"/>
                <w:b/>
                <w:color w:val="C45911" w:themeColor="accent2" w:themeShade="BF"/>
                <w:sz w:val="20"/>
                <w:szCs w:val="20"/>
                <w:lang w:val="en-GB"/>
              </w:rPr>
            </w:pPr>
            <w:r w:rsidRPr="005E4F81">
              <w:rPr>
                <w:rFonts w:ascii="Cambria Math" w:hAnsi="Cambria Math" w:cs="Cambria Math"/>
                <w:b/>
                <w:color w:val="C45911" w:themeColor="accent2" w:themeShade="BF"/>
                <w:sz w:val="20"/>
                <w:szCs w:val="20"/>
                <w:lang w:val="en-GB"/>
              </w:rPr>
              <w:t>⦠</w:t>
            </w:r>
          </w:p>
        </w:tc>
        <w:tc>
          <w:tcPr>
            <w:tcW w:w="8530" w:type="dxa"/>
          </w:tcPr>
          <w:p w14:paraId="66D26D01" w14:textId="4800099E" w:rsidR="003D2277" w:rsidRPr="00557650" w:rsidRDefault="00C91AFB" w:rsidP="003B1F10">
            <w:pPr>
              <w:spacing w:after="40" w:line="276" w:lineRule="auto"/>
              <w:jc w:val="both"/>
              <w:rPr>
                <w:rFonts w:cstheme="minorHAnsi"/>
                <w:bCs/>
                <w:sz w:val="20"/>
                <w:szCs w:val="20"/>
                <w:lang w:val="en-GB"/>
              </w:rPr>
            </w:pPr>
            <w:r w:rsidRPr="00557650">
              <w:rPr>
                <w:rFonts w:cstheme="minorHAnsi"/>
                <w:bCs/>
                <w:sz w:val="20"/>
                <w:szCs w:val="20"/>
                <w:lang w:val="en-GB"/>
              </w:rPr>
              <w:t>Global GDP is projected to grow by 2.8% in 2025 and 3.0% in 2026, reflecting increased global uncertainty and tariff-driven challenges.</w:t>
            </w:r>
            <w:r w:rsidR="003B1F10">
              <w:rPr>
                <w:rFonts w:cstheme="minorHAnsi"/>
                <w:bCs/>
                <w:sz w:val="20"/>
                <w:szCs w:val="20"/>
                <w:lang w:val="en-GB"/>
              </w:rPr>
              <w:t xml:space="preserve"> </w:t>
            </w:r>
            <w:r w:rsidR="003B1F10" w:rsidRPr="00557650">
              <w:rPr>
                <w:rFonts w:eastAsia="Avenir" w:cstheme="minorHAnsi"/>
                <w:bCs/>
                <w:color w:val="000000"/>
                <w:sz w:val="20"/>
                <w:szCs w:val="20"/>
                <w:lang w:val="en-GB"/>
              </w:rPr>
              <w:t>The US growth forecast was lowered to 1.8%, driven by rising tariffs, policy uncertainty, and weakening consumer demand</w:t>
            </w:r>
            <w:r w:rsidR="003B1F10">
              <w:rPr>
                <w:rFonts w:eastAsia="Avenir" w:cstheme="minorHAnsi"/>
                <w:bCs/>
                <w:color w:val="000000"/>
                <w:sz w:val="20"/>
                <w:szCs w:val="20"/>
                <w:lang w:val="en-GB"/>
              </w:rPr>
              <w:t>.</w:t>
            </w:r>
          </w:p>
        </w:tc>
      </w:tr>
      <w:tr w:rsidR="006D098F" w:rsidRPr="005E4F81" w14:paraId="347AB646" w14:textId="77777777" w:rsidTr="001E7E58">
        <w:tc>
          <w:tcPr>
            <w:tcW w:w="378" w:type="dxa"/>
          </w:tcPr>
          <w:p w14:paraId="12E031B2" w14:textId="53AB4098" w:rsidR="006D098F" w:rsidRPr="005E4F81" w:rsidRDefault="00D92C11" w:rsidP="001E7E58">
            <w:pPr>
              <w:spacing w:after="60" w:line="276" w:lineRule="auto"/>
              <w:rPr>
                <w:rFonts w:ascii="Cambria Math" w:hAnsi="Cambria Math" w:cs="Cambria Math"/>
                <w:b/>
                <w:color w:val="C45911" w:themeColor="accent2" w:themeShade="BF"/>
                <w:sz w:val="20"/>
                <w:szCs w:val="20"/>
              </w:rPr>
            </w:pPr>
            <w:r w:rsidRPr="005E4F81">
              <w:rPr>
                <w:rFonts w:ascii="Cambria Math" w:hAnsi="Cambria Math" w:cs="Cambria Math"/>
                <w:b/>
                <w:color w:val="C45911" w:themeColor="accent2" w:themeShade="BF"/>
                <w:sz w:val="20"/>
                <w:szCs w:val="20"/>
                <w:lang w:val="en-GB"/>
              </w:rPr>
              <w:t>⦠</w:t>
            </w:r>
          </w:p>
        </w:tc>
        <w:tc>
          <w:tcPr>
            <w:tcW w:w="8530" w:type="dxa"/>
          </w:tcPr>
          <w:p w14:paraId="3DDF2427" w14:textId="76946796" w:rsidR="006D098F" w:rsidRPr="00557650" w:rsidRDefault="00352FE2" w:rsidP="003B1F10">
            <w:pPr>
              <w:pBdr>
                <w:top w:val="nil"/>
                <w:left w:val="nil"/>
                <w:bottom w:val="nil"/>
                <w:right w:val="nil"/>
                <w:between w:val="nil"/>
              </w:pBdr>
              <w:spacing w:after="40" w:line="276" w:lineRule="auto"/>
              <w:jc w:val="both"/>
              <w:rPr>
                <w:rFonts w:eastAsia="Avenir" w:cstheme="minorHAnsi"/>
                <w:bCs/>
                <w:color w:val="000000"/>
                <w:sz w:val="20"/>
                <w:szCs w:val="20"/>
                <w:lang w:val="en-GB"/>
              </w:rPr>
            </w:pPr>
            <w:r w:rsidRPr="00557650">
              <w:rPr>
                <w:rFonts w:eastAsia="Avenir" w:cstheme="minorHAnsi"/>
                <w:bCs/>
                <w:color w:val="000000"/>
                <w:sz w:val="20"/>
                <w:szCs w:val="20"/>
                <w:lang w:val="en-GB"/>
              </w:rPr>
              <w:t>Despite a 90-day pause on some US tariffs, the economic damage from the escalation in US-China trade tensions remains considerable.</w:t>
            </w:r>
            <w:r w:rsidR="003B1F10" w:rsidRPr="00557650">
              <w:rPr>
                <w:rFonts w:eastAsia="Avenir" w:cstheme="minorHAnsi"/>
                <w:bCs/>
                <w:color w:val="000000"/>
                <w:sz w:val="20"/>
                <w:szCs w:val="20"/>
                <w:lang w:val="en-GB"/>
              </w:rPr>
              <w:t xml:space="preserve"> A temporary easing in tensions occurred in May with a US-China deal reducing tariffs for 90 days, but longer-term uncertainty persists.</w:t>
            </w:r>
          </w:p>
        </w:tc>
      </w:tr>
      <w:tr w:rsidR="00D92C11" w:rsidRPr="005E4F81" w14:paraId="4ED0C49D" w14:textId="77777777" w:rsidTr="001E7E58">
        <w:tc>
          <w:tcPr>
            <w:tcW w:w="378" w:type="dxa"/>
          </w:tcPr>
          <w:p w14:paraId="0502FE3C" w14:textId="2464828A" w:rsidR="00D92C11" w:rsidRPr="005E4F81" w:rsidRDefault="00D92C11" w:rsidP="001E7E58">
            <w:pPr>
              <w:spacing w:after="60" w:line="276" w:lineRule="auto"/>
              <w:rPr>
                <w:rFonts w:ascii="Cambria Math" w:hAnsi="Cambria Math" w:cs="Cambria Math"/>
                <w:b/>
                <w:color w:val="C45911" w:themeColor="accent2" w:themeShade="BF"/>
                <w:sz w:val="20"/>
                <w:szCs w:val="20"/>
              </w:rPr>
            </w:pPr>
            <w:r w:rsidRPr="005E4F81">
              <w:rPr>
                <w:rFonts w:ascii="Cambria Math" w:hAnsi="Cambria Math" w:cs="Cambria Math"/>
                <w:b/>
                <w:color w:val="C45911" w:themeColor="accent2" w:themeShade="BF"/>
                <w:sz w:val="20"/>
                <w:szCs w:val="20"/>
                <w:lang w:val="en-GB"/>
              </w:rPr>
              <w:t>⦠</w:t>
            </w:r>
          </w:p>
        </w:tc>
        <w:tc>
          <w:tcPr>
            <w:tcW w:w="8530" w:type="dxa"/>
          </w:tcPr>
          <w:p w14:paraId="5EDFE7E9" w14:textId="0DF72184" w:rsidR="00D92C11" w:rsidRPr="00557650" w:rsidRDefault="003424ED" w:rsidP="003B1F10">
            <w:pPr>
              <w:spacing w:after="40" w:line="276" w:lineRule="auto"/>
              <w:jc w:val="both"/>
              <w:rPr>
                <w:rFonts w:cstheme="minorHAnsi"/>
                <w:bCs/>
                <w:sz w:val="20"/>
                <w:szCs w:val="20"/>
                <w:lang w:val="en-GB"/>
              </w:rPr>
            </w:pPr>
            <w:r w:rsidRPr="003424ED">
              <w:rPr>
                <w:rFonts w:cstheme="minorHAnsi"/>
                <w:bCs/>
                <w:sz w:val="20"/>
                <w:szCs w:val="20"/>
                <w:lang w:val="en-GB"/>
              </w:rPr>
              <w:t>The IMF flagged risks in the US debt market, particularly involving hedge fund strategies like the basis trade, which rely on heavy borrowing.</w:t>
            </w:r>
          </w:p>
        </w:tc>
      </w:tr>
      <w:tr w:rsidR="00D92C11" w:rsidRPr="005E4F81" w14:paraId="185B2E7F" w14:textId="77777777" w:rsidTr="001E7E58">
        <w:tc>
          <w:tcPr>
            <w:tcW w:w="378" w:type="dxa"/>
          </w:tcPr>
          <w:p w14:paraId="7E9DE233" w14:textId="3EF0B9E1" w:rsidR="00D92C11" w:rsidRPr="005E4F81" w:rsidRDefault="00D92C11" w:rsidP="001E7E58">
            <w:pPr>
              <w:spacing w:after="60" w:line="276" w:lineRule="auto"/>
              <w:rPr>
                <w:rFonts w:ascii="Cambria Math" w:hAnsi="Cambria Math" w:cs="Cambria Math"/>
                <w:b/>
                <w:color w:val="C45911" w:themeColor="accent2" w:themeShade="BF"/>
                <w:sz w:val="20"/>
                <w:szCs w:val="20"/>
              </w:rPr>
            </w:pPr>
            <w:r w:rsidRPr="005E4F81">
              <w:rPr>
                <w:rFonts w:ascii="Cambria Math" w:hAnsi="Cambria Math" w:cs="Cambria Math"/>
                <w:b/>
                <w:color w:val="C45911" w:themeColor="accent2" w:themeShade="BF"/>
                <w:sz w:val="20"/>
                <w:szCs w:val="20"/>
                <w:lang w:val="en-GB"/>
              </w:rPr>
              <w:t>⦠</w:t>
            </w:r>
          </w:p>
        </w:tc>
        <w:tc>
          <w:tcPr>
            <w:tcW w:w="8530" w:type="dxa"/>
          </w:tcPr>
          <w:p w14:paraId="09FBB4FE" w14:textId="74DA18DA" w:rsidR="00D92C11" w:rsidRPr="00557650" w:rsidRDefault="008F58CA" w:rsidP="003B1F10">
            <w:pPr>
              <w:pBdr>
                <w:top w:val="nil"/>
                <w:left w:val="nil"/>
                <w:bottom w:val="nil"/>
                <w:right w:val="nil"/>
                <w:between w:val="nil"/>
              </w:pBdr>
              <w:spacing w:after="40" w:line="276" w:lineRule="auto"/>
              <w:jc w:val="both"/>
              <w:rPr>
                <w:rFonts w:eastAsia="Avenir" w:cstheme="minorHAnsi"/>
                <w:bCs/>
                <w:color w:val="000000"/>
                <w:sz w:val="20"/>
                <w:szCs w:val="20"/>
                <w:lang w:val="en-GB"/>
              </w:rPr>
            </w:pPr>
            <w:r w:rsidRPr="00557650">
              <w:rPr>
                <w:rFonts w:eastAsia="Avenir" w:cstheme="minorHAnsi"/>
                <w:bCs/>
                <w:color w:val="000000"/>
                <w:sz w:val="20"/>
                <w:szCs w:val="20"/>
                <w:lang w:val="en-GB"/>
              </w:rPr>
              <w:t>Financial market volatility is rising, with concurrent drops in the US dollar, stocks, and bonds, though capital outflows remain limited so far.</w:t>
            </w:r>
          </w:p>
        </w:tc>
      </w:tr>
      <w:tr w:rsidR="00D92C11" w:rsidRPr="005E4F81" w14:paraId="01AD912D" w14:textId="77777777" w:rsidTr="001E7E58">
        <w:tc>
          <w:tcPr>
            <w:tcW w:w="378" w:type="dxa"/>
          </w:tcPr>
          <w:p w14:paraId="731734AC" w14:textId="3417CD19" w:rsidR="00D92C11" w:rsidRPr="005E4F81" w:rsidRDefault="00D92C11" w:rsidP="001E7E58">
            <w:pPr>
              <w:spacing w:after="60" w:line="276" w:lineRule="auto"/>
              <w:rPr>
                <w:rFonts w:ascii="Cambria Math" w:hAnsi="Cambria Math" w:cs="Cambria Math"/>
                <w:b/>
                <w:color w:val="C45911" w:themeColor="accent2" w:themeShade="BF"/>
                <w:sz w:val="20"/>
                <w:szCs w:val="20"/>
              </w:rPr>
            </w:pPr>
            <w:r w:rsidRPr="005E4F81">
              <w:rPr>
                <w:rFonts w:ascii="Cambria Math" w:hAnsi="Cambria Math" w:cs="Cambria Math"/>
                <w:b/>
                <w:color w:val="C45911" w:themeColor="accent2" w:themeShade="BF"/>
                <w:sz w:val="20"/>
                <w:szCs w:val="20"/>
                <w:lang w:val="en-GB"/>
              </w:rPr>
              <w:t>⦠</w:t>
            </w:r>
          </w:p>
        </w:tc>
        <w:tc>
          <w:tcPr>
            <w:tcW w:w="8530" w:type="dxa"/>
          </w:tcPr>
          <w:p w14:paraId="5C4C999A" w14:textId="58DED717" w:rsidR="00D92C11" w:rsidRPr="00557650" w:rsidRDefault="0015379D" w:rsidP="003B1F10">
            <w:pPr>
              <w:pBdr>
                <w:top w:val="nil"/>
                <w:left w:val="nil"/>
                <w:bottom w:val="nil"/>
                <w:right w:val="nil"/>
                <w:between w:val="nil"/>
              </w:pBdr>
              <w:spacing w:after="40" w:line="276" w:lineRule="auto"/>
              <w:jc w:val="both"/>
              <w:rPr>
                <w:rFonts w:eastAsia="Avenir" w:cstheme="minorHAnsi"/>
                <w:bCs/>
                <w:color w:val="000000"/>
                <w:sz w:val="20"/>
                <w:szCs w:val="20"/>
                <w:lang w:val="en-GB"/>
              </w:rPr>
            </w:pPr>
            <w:r w:rsidRPr="00557650">
              <w:rPr>
                <w:rFonts w:eastAsia="Avenir" w:cstheme="minorHAnsi"/>
                <w:bCs/>
                <w:color w:val="000000"/>
                <w:sz w:val="20"/>
                <w:szCs w:val="20"/>
                <w:lang w:val="en-GB"/>
              </w:rPr>
              <w:t>While US financial markets still dominate globally, the IMF urged readiness to intervene in case of instability and emphasised access to central bank support.</w:t>
            </w:r>
          </w:p>
        </w:tc>
      </w:tr>
      <w:tr w:rsidR="00D92C11" w:rsidRPr="005E4F81" w14:paraId="4FCDAF6D" w14:textId="77777777" w:rsidTr="001E7E58">
        <w:tc>
          <w:tcPr>
            <w:tcW w:w="378" w:type="dxa"/>
          </w:tcPr>
          <w:p w14:paraId="1DA50F76" w14:textId="10240230" w:rsidR="00D92C11" w:rsidRPr="005E4F81" w:rsidRDefault="00D92C11" w:rsidP="001E7E58">
            <w:pPr>
              <w:spacing w:after="60" w:line="276" w:lineRule="auto"/>
              <w:rPr>
                <w:rFonts w:ascii="Cambria Math" w:hAnsi="Cambria Math" w:cs="Cambria Math"/>
                <w:b/>
                <w:color w:val="C45911" w:themeColor="accent2" w:themeShade="BF"/>
                <w:sz w:val="20"/>
                <w:szCs w:val="20"/>
              </w:rPr>
            </w:pPr>
            <w:r w:rsidRPr="005E4F81">
              <w:rPr>
                <w:rFonts w:ascii="Cambria Math" w:hAnsi="Cambria Math" w:cs="Cambria Math"/>
                <w:b/>
                <w:color w:val="C45911" w:themeColor="accent2" w:themeShade="BF"/>
                <w:sz w:val="20"/>
                <w:szCs w:val="20"/>
                <w:lang w:val="en-GB"/>
              </w:rPr>
              <w:t>⦠</w:t>
            </w:r>
          </w:p>
        </w:tc>
        <w:tc>
          <w:tcPr>
            <w:tcW w:w="8530" w:type="dxa"/>
          </w:tcPr>
          <w:p w14:paraId="604EF303" w14:textId="413B6F89" w:rsidR="00D92C11" w:rsidRPr="00557650" w:rsidRDefault="00A62206" w:rsidP="003B1F10">
            <w:pPr>
              <w:pBdr>
                <w:top w:val="nil"/>
                <w:left w:val="nil"/>
                <w:bottom w:val="nil"/>
                <w:right w:val="nil"/>
                <w:between w:val="nil"/>
              </w:pBdr>
              <w:spacing w:after="40" w:line="276" w:lineRule="auto"/>
              <w:jc w:val="both"/>
              <w:rPr>
                <w:rFonts w:eastAsia="Avenir" w:cstheme="minorHAnsi"/>
                <w:bCs/>
                <w:color w:val="000000"/>
                <w:sz w:val="20"/>
                <w:szCs w:val="20"/>
                <w:lang w:val="en-GB"/>
              </w:rPr>
            </w:pPr>
            <w:r w:rsidRPr="00557650">
              <w:rPr>
                <w:rFonts w:eastAsia="Avenir" w:cstheme="minorHAnsi"/>
                <w:bCs/>
                <w:color w:val="000000"/>
                <w:sz w:val="20"/>
                <w:szCs w:val="20"/>
                <w:lang w:val="en-GB"/>
              </w:rPr>
              <w:t>Global trade uncertainty has surged to levels seven times higher than in October 2024, surpassing even the pandemic peak.</w:t>
            </w:r>
          </w:p>
        </w:tc>
      </w:tr>
      <w:tr w:rsidR="00D92C11" w:rsidRPr="005E4F81" w14:paraId="7BAE9B00" w14:textId="77777777" w:rsidTr="001E7E58">
        <w:tc>
          <w:tcPr>
            <w:tcW w:w="378" w:type="dxa"/>
          </w:tcPr>
          <w:p w14:paraId="505409AA" w14:textId="5074B790" w:rsidR="00D92C11" w:rsidRPr="005E4F81" w:rsidRDefault="00D92C11" w:rsidP="001E7E58">
            <w:pPr>
              <w:spacing w:after="60" w:line="276" w:lineRule="auto"/>
              <w:rPr>
                <w:rFonts w:ascii="Cambria Math" w:hAnsi="Cambria Math" w:cs="Cambria Math"/>
                <w:b/>
                <w:color w:val="C45911" w:themeColor="accent2" w:themeShade="BF"/>
                <w:sz w:val="20"/>
                <w:szCs w:val="20"/>
              </w:rPr>
            </w:pPr>
            <w:r w:rsidRPr="005E4F81">
              <w:rPr>
                <w:rFonts w:ascii="Cambria Math" w:hAnsi="Cambria Math" w:cs="Cambria Math"/>
                <w:b/>
                <w:color w:val="C45911" w:themeColor="accent2" w:themeShade="BF"/>
                <w:sz w:val="20"/>
                <w:szCs w:val="20"/>
                <w:lang w:val="en-GB"/>
              </w:rPr>
              <w:t>⦠</w:t>
            </w:r>
          </w:p>
        </w:tc>
        <w:tc>
          <w:tcPr>
            <w:tcW w:w="8530" w:type="dxa"/>
          </w:tcPr>
          <w:p w14:paraId="4303966D" w14:textId="0DFFB82F" w:rsidR="00D92C11" w:rsidRPr="00557650" w:rsidRDefault="00F1620A" w:rsidP="003B1F10">
            <w:pPr>
              <w:pBdr>
                <w:top w:val="nil"/>
                <w:left w:val="nil"/>
                <w:bottom w:val="nil"/>
                <w:right w:val="nil"/>
                <w:between w:val="nil"/>
              </w:pBdr>
              <w:spacing w:after="40" w:line="276" w:lineRule="auto"/>
              <w:jc w:val="both"/>
              <w:rPr>
                <w:rFonts w:eastAsia="Avenir" w:cstheme="minorHAnsi"/>
                <w:bCs/>
                <w:color w:val="000000"/>
                <w:sz w:val="20"/>
                <w:szCs w:val="20"/>
                <w:lang w:val="en-GB"/>
              </w:rPr>
            </w:pPr>
            <w:r w:rsidRPr="00557650">
              <w:rPr>
                <w:rFonts w:eastAsia="Avenir" w:cstheme="minorHAnsi"/>
                <w:bCs/>
                <w:color w:val="000000"/>
                <w:sz w:val="20"/>
                <w:szCs w:val="20"/>
                <w:lang w:val="en-GB"/>
              </w:rPr>
              <w:t>The IMF warned that excessive leverage, high asset valuations, and growing national debt levels could amplify market stress and investor anxiety.</w:t>
            </w:r>
          </w:p>
        </w:tc>
      </w:tr>
    </w:tbl>
    <w:p w14:paraId="3B6B61BD" w14:textId="0117C96D" w:rsidR="00587B13" w:rsidRDefault="003D2277" w:rsidP="003D2277">
      <w:pPr>
        <w:spacing w:after="80"/>
        <w:rPr>
          <w:rFonts w:cstheme="minorHAnsi"/>
          <w:b/>
          <w:color w:val="C45911" w:themeColor="accent2" w:themeShade="BF"/>
          <w:sz w:val="20"/>
          <w:szCs w:val="20"/>
        </w:rPr>
      </w:pPr>
      <w:r>
        <w:rPr>
          <w:rFonts w:cstheme="minorHAnsi"/>
          <w:b/>
          <w:color w:val="C45911" w:themeColor="accent2" w:themeShade="BF"/>
          <w:sz w:val="20"/>
          <w:szCs w:val="20"/>
        </w:rPr>
        <w:t>K</w:t>
      </w:r>
      <w:r w:rsidRPr="00CF2EEA">
        <w:rPr>
          <w:rFonts w:cstheme="minorHAnsi"/>
          <w:b/>
          <w:color w:val="C45911" w:themeColor="accent2" w:themeShade="BF"/>
          <w:sz w:val="20"/>
          <w:szCs w:val="20"/>
        </w:rPr>
        <w:t>ey Picture</w:t>
      </w:r>
      <w:r>
        <w:rPr>
          <w:rFonts w:cstheme="minorHAnsi"/>
          <w:b/>
          <w:color w:val="C45911" w:themeColor="accent2" w:themeShade="BF"/>
          <w:sz w:val="20"/>
          <w:szCs w:val="20"/>
        </w:rPr>
        <w:t xml:space="preserve">: </w:t>
      </w:r>
      <w:r w:rsidR="002F4276">
        <w:rPr>
          <w:rFonts w:cstheme="minorHAnsi"/>
          <w:b/>
          <w:color w:val="C45911" w:themeColor="accent2" w:themeShade="BF"/>
          <w:sz w:val="20"/>
          <w:szCs w:val="20"/>
        </w:rPr>
        <w:t xml:space="preserve"> </w:t>
      </w:r>
      <w:r w:rsidR="00405723">
        <w:rPr>
          <w:rFonts w:cstheme="minorHAnsi"/>
          <w:b/>
          <w:color w:val="C45911" w:themeColor="accent2" w:themeShade="BF"/>
          <w:sz w:val="20"/>
          <w:szCs w:val="20"/>
        </w:rPr>
        <w:t>IMF Revisions</w:t>
      </w:r>
      <w:r w:rsidR="00C57DBA">
        <w:rPr>
          <w:rFonts w:cstheme="minorHAnsi"/>
          <w:b/>
          <w:color w:val="C45911" w:themeColor="accent2" w:themeShade="BF"/>
          <w:sz w:val="20"/>
          <w:szCs w:val="20"/>
        </w:rPr>
        <w:t xml:space="preserve"> (22 April)</w:t>
      </w:r>
      <w:r w:rsidR="003B1F10">
        <w:rPr>
          <w:rFonts w:cstheme="minorHAnsi"/>
          <w:b/>
          <w:color w:val="C45911" w:themeColor="accent2" w:themeShade="BF"/>
          <w:sz w:val="20"/>
          <w:szCs w:val="20"/>
        </w:rPr>
        <w:t xml:space="preserve">: </w:t>
      </w:r>
      <w:r w:rsidR="003B1F10" w:rsidRPr="003B1F10">
        <w:rPr>
          <w:rFonts w:cstheme="minorHAnsi"/>
          <w:b/>
          <w:color w:val="C45911" w:themeColor="accent2" w:themeShade="BF"/>
          <w:sz w:val="20"/>
          <w:szCs w:val="20"/>
        </w:rPr>
        <w:t>Growth revised down significantly, and Inflation revised up slightly.</w:t>
      </w:r>
    </w:p>
    <w:p w14:paraId="44CDAD50" w14:textId="56E80AC8" w:rsidR="00AB6E89" w:rsidRDefault="00AB6E89" w:rsidP="003D2277">
      <w:pPr>
        <w:spacing w:after="80"/>
        <w:rPr>
          <w:rFonts w:cstheme="minorHAnsi"/>
          <w:b/>
          <w:color w:val="C45911" w:themeColor="accent2" w:themeShade="BF"/>
          <w:sz w:val="20"/>
          <w:szCs w:val="20"/>
        </w:rPr>
      </w:pPr>
      <w:r>
        <w:rPr>
          <w:rFonts w:cstheme="minorHAnsi"/>
          <w:b/>
          <w:noProof/>
          <w:color w:val="C45911" w:themeColor="accent2" w:themeShade="BF"/>
          <w:sz w:val="20"/>
          <w:szCs w:val="20"/>
        </w:rPr>
        <w:drawing>
          <wp:inline distT="0" distB="0" distL="0" distR="0" wp14:anchorId="1EF28249" wp14:editId="2F1AF400">
            <wp:extent cx="5587109" cy="3830128"/>
            <wp:effectExtent l="0" t="0" r="0" b="0"/>
            <wp:docPr id="1787972131" name="Picture 2" descr="A graph of growth and infl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72131" name="Picture 2" descr="A graph of growth and inflation&#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t="24148" b="8333"/>
                    <a:stretch/>
                  </pic:blipFill>
                  <pic:spPr bwMode="auto">
                    <a:xfrm>
                      <a:off x="0" y="0"/>
                      <a:ext cx="5727110" cy="3926103"/>
                    </a:xfrm>
                    <a:prstGeom prst="rect">
                      <a:avLst/>
                    </a:prstGeom>
                    <a:ln>
                      <a:noFill/>
                    </a:ln>
                    <a:extLst>
                      <a:ext uri="{53640926-AAD7-44D8-BBD7-CCE9431645EC}">
                        <a14:shadowObscured xmlns:a14="http://schemas.microsoft.com/office/drawing/2010/main"/>
                      </a:ext>
                    </a:extLst>
                  </pic:spPr>
                </pic:pic>
              </a:graphicData>
            </a:graphic>
          </wp:inline>
        </w:drawing>
      </w:r>
    </w:p>
    <w:p w14:paraId="61D0B896" w14:textId="11B579E5" w:rsidR="00587B13" w:rsidRPr="00A92CDA" w:rsidRDefault="00CB1F40" w:rsidP="003D2277">
      <w:pPr>
        <w:spacing w:after="80"/>
        <w:rPr>
          <w:rFonts w:cstheme="minorHAnsi"/>
          <w:i/>
          <w:iCs/>
          <w:color w:val="C45911" w:themeColor="accent2" w:themeShade="BF"/>
          <w:sz w:val="18"/>
          <w:szCs w:val="18"/>
        </w:rPr>
      </w:pPr>
      <w:r w:rsidRPr="00CB1F40">
        <w:rPr>
          <w:rFonts w:cstheme="minorHAnsi"/>
          <w:bCs/>
          <w:i/>
          <w:iCs/>
          <w:color w:val="C45911" w:themeColor="accent2" w:themeShade="BF"/>
          <w:sz w:val="18"/>
          <w:szCs w:val="18"/>
        </w:rPr>
        <w:t>Source:</w:t>
      </w:r>
      <w:r w:rsidRPr="00CB1F40">
        <w:rPr>
          <w:rFonts w:cstheme="minorHAnsi"/>
          <w:bCs/>
          <w:i/>
          <w:iCs/>
          <w:color w:val="FFC000"/>
          <w:sz w:val="18"/>
          <w:szCs w:val="18"/>
        </w:rPr>
        <w:t xml:space="preserve"> </w:t>
      </w:r>
      <w:hyperlink r:id="rId12" w:history="1">
        <w:r w:rsidRPr="00CB1F40">
          <w:rPr>
            <w:rStyle w:val="Hyperlink"/>
            <w:rFonts w:cstheme="minorHAnsi"/>
            <w:bCs/>
            <w:i/>
            <w:iCs/>
            <w:color w:val="FFC000"/>
            <w:sz w:val="18"/>
            <w:szCs w:val="18"/>
          </w:rPr>
          <w:t>IMF World Economic Outlook and IMF Staff Estimates (22 April 2025)</w:t>
        </w:r>
      </w:hyperlink>
      <w:r w:rsidR="003B1F10">
        <w:rPr>
          <w:rFonts w:cstheme="minorHAnsi"/>
          <w:bCs/>
          <w:i/>
          <w:iCs/>
          <w:color w:val="FFC000"/>
          <w:sz w:val="18"/>
          <w:szCs w:val="18"/>
        </w:rPr>
        <w:t xml:space="preserve">, percentage points. </w:t>
      </w:r>
    </w:p>
    <w:p w14:paraId="12BA2362" w14:textId="244400AB" w:rsidR="003D2277" w:rsidRDefault="00587B13" w:rsidP="003D2277">
      <w:pPr>
        <w:spacing w:after="80" w:line="276" w:lineRule="auto"/>
        <w:jc w:val="both"/>
        <w:rPr>
          <w:rFonts w:cstheme="minorHAnsi"/>
          <w:b/>
          <w:color w:val="C45911" w:themeColor="accent2" w:themeShade="BF"/>
          <w:sz w:val="20"/>
          <w:szCs w:val="20"/>
        </w:rPr>
      </w:pPr>
      <w:r>
        <w:rPr>
          <w:rFonts w:cstheme="minorHAnsi"/>
          <w:b/>
          <w:color w:val="C45911" w:themeColor="accent2" w:themeShade="BF"/>
          <w:sz w:val="20"/>
          <w:szCs w:val="20"/>
        </w:rPr>
        <w:lastRenderedPageBreak/>
        <w:t xml:space="preserve">Section </w:t>
      </w:r>
      <w:r w:rsidR="00277297">
        <w:rPr>
          <w:rFonts w:cstheme="minorHAnsi"/>
          <w:b/>
          <w:color w:val="C45911" w:themeColor="accent2" w:themeShade="BF"/>
          <w:sz w:val="20"/>
          <w:szCs w:val="20"/>
        </w:rPr>
        <w:t>1. Forecasting Amid Volatility: A Look at the IMF Projections</w:t>
      </w:r>
    </w:p>
    <w:p w14:paraId="6AD1BACE" w14:textId="33A870C7" w:rsidR="00277297" w:rsidRPr="00875563" w:rsidRDefault="00277297" w:rsidP="00875563">
      <w:pPr>
        <w:spacing w:after="80" w:line="276" w:lineRule="auto"/>
        <w:jc w:val="both"/>
        <w:rPr>
          <w:rFonts w:cstheme="minorHAnsi"/>
          <w:bCs/>
          <w:i/>
          <w:iCs/>
          <w:color w:val="C45911" w:themeColor="accent2" w:themeShade="BF"/>
          <w:sz w:val="20"/>
          <w:szCs w:val="20"/>
        </w:rPr>
      </w:pPr>
      <w:r w:rsidRPr="00277297">
        <w:rPr>
          <w:rFonts w:cstheme="minorHAnsi"/>
          <w:bCs/>
          <w:i/>
          <w:iCs/>
          <w:color w:val="C45911" w:themeColor="accent2" w:themeShade="BF"/>
          <w:sz w:val="20"/>
          <w:szCs w:val="20"/>
        </w:rPr>
        <w:t>1.1 IMF World Economic Outlook: Key Points</w:t>
      </w:r>
    </w:p>
    <w:p w14:paraId="7DA6AA0A" w14:textId="392DB675" w:rsidR="00875563" w:rsidRPr="00875563" w:rsidRDefault="00875563" w:rsidP="00875563">
      <w:pPr>
        <w:pBdr>
          <w:top w:val="nil"/>
          <w:left w:val="nil"/>
          <w:bottom w:val="nil"/>
          <w:right w:val="nil"/>
          <w:between w:val="nil"/>
        </w:pBdr>
        <w:spacing w:line="276" w:lineRule="auto"/>
        <w:jc w:val="both"/>
        <w:rPr>
          <w:rFonts w:eastAsia="Avenir" w:cstheme="minorHAnsi"/>
          <w:bCs/>
          <w:color w:val="000000"/>
          <w:sz w:val="20"/>
          <w:szCs w:val="20"/>
        </w:rPr>
      </w:pPr>
      <w:r w:rsidRPr="00875563">
        <w:rPr>
          <w:rFonts w:eastAsia="Avenir" w:cstheme="minorHAnsi"/>
          <w:bCs/>
          <w:color w:val="000000"/>
          <w:sz w:val="20"/>
          <w:szCs w:val="20"/>
        </w:rPr>
        <w:t>In April, the International Monetary Fund (IMF) released its World Economic Outlook, significantly lowering its growth projections for the United States, China, and the majority of other countries</w:t>
      </w:r>
      <w:r w:rsidRPr="00875563">
        <w:rPr>
          <w:rStyle w:val="EndnoteReference"/>
          <w:rFonts w:eastAsia="Avenir" w:cstheme="minorHAnsi"/>
          <w:bCs/>
          <w:color w:val="000000"/>
          <w:sz w:val="20"/>
          <w:szCs w:val="20"/>
        </w:rPr>
        <w:endnoteReference w:id="1"/>
      </w:r>
      <w:r w:rsidRPr="00875563">
        <w:rPr>
          <w:rFonts w:eastAsia="Avenir" w:cstheme="minorHAnsi"/>
          <w:bCs/>
          <w:color w:val="000000"/>
          <w:sz w:val="20"/>
          <w:szCs w:val="20"/>
        </w:rPr>
        <w:t>, including Canada, Japan, the UK, Germany, France and Italy</w:t>
      </w:r>
      <w:r w:rsidRPr="00875563">
        <w:rPr>
          <w:rStyle w:val="EndnoteReference"/>
          <w:rFonts w:eastAsia="Avenir" w:cstheme="minorHAnsi"/>
          <w:bCs/>
          <w:color w:val="000000"/>
          <w:sz w:val="20"/>
          <w:szCs w:val="20"/>
        </w:rPr>
        <w:endnoteReference w:id="2"/>
      </w:r>
      <w:r w:rsidRPr="00875563">
        <w:rPr>
          <w:rFonts w:eastAsia="Avenir" w:cstheme="minorHAnsi"/>
          <w:bCs/>
          <w:color w:val="000000"/>
          <w:sz w:val="20"/>
          <w:szCs w:val="20"/>
        </w:rPr>
        <w:t>, attributing the downgrade to the effects of US tariffs.</w:t>
      </w:r>
      <w:r w:rsidRPr="00875563">
        <w:rPr>
          <w:rStyle w:val="EndnoteReference"/>
          <w:rFonts w:eastAsia="Avenir" w:cstheme="minorHAnsi"/>
          <w:bCs/>
          <w:color w:val="000000"/>
          <w:sz w:val="20"/>
          <w:szCs w:val="20"/>
        </w:rPr>
        <w:endnoteReference w:id="3"/>
      </w:r>
      <w:r w:rsidRPr="00875563">
        <w:rPr>
          <w:rFonts w:eastAsia="Avenir" w:cstheme="minorHAnsi"/>
          <w:bCs/>
          <w:color w:val="000000"/>
          <w:sz w:val="20"/>
          <w:szCs w:val="20"/>
        </w:rPr>
        <w:t xml:space="preserve"> The IMF delivered the steepest downgrade to the UK’s 2025 economic growth forecast among all major European economies, also reporting that inflation in the UK is expected to be higher this year than it had projected in January, and higher than in any other G7 nation.</w:t>
      </w:r>
      <w:r w:rsidRPr="00875563">
        <w:rPr>
          <w:rStyle w:val="EndnoteReference"/>
          <w:rFonts w:eastAsia="Avenir" w:cstheme="minorHAnsi"/>
          <w:bCs/>
          <w:color w:val="000000"/>
          <w:sz w:val="20"/>
          <w:szCs w:val="20"/>
        </w:rPr>
        <w:endnoteReference w:id="4"/>
      </w:r>
      <w:r w:rsidRPr="00875563">
        <w:rPr>
          <w:rFonts w:eastAsia="Avenir" w:cstheme="minorHAnsi"/>
          <w:bCs/>
          <w:color w:val="000000"/>
          <w:sz w:val="20"/>
          <w:szCs w:val="20"/>
        </w:rPr>
        <w:t xml:space="preserve"> The IMF also cautioned that escalating trade tensions are likely to further dampen global economic growth.</w:t>
      </w:r>
      <w:r w:rsidRPr="00875563">
        <w:rPr>
          <w:rStyle w:val="EndnoteReference"/>
          <w:rFonts w:eastAsia="Avenir" w:cstheme="minorHAnsi"/>
          <w:bCs/>
          <w:color w:val="000000"/>
          <w:sz w:val="20"/>
          <w:szCs w:val="20"/>
        </w:rPr>
        <w:endnoteReference w:id="5"/>
      </w:r>
    </w:p>
    <w:p w14:paraId="1C2D6895" w14:textId="4D96958D" w:rsidR="00875563" w:rsidRPr="00875563" w:rsidRDefault="00875563" w:rsidP="00875563">
      <w:pPr>
        <w:pBdr>
          <w:top w:val="nil"/>
          <w:left w:val="nil"/>
          <w:bottom w:val="nil"/>
          <w:right w:val="nil"/>
          <w:between w:val="nil"/>
        </w:pBdr>
        <w:spacing w:line="276" w:lineRule="auto"/>
        <w:jc w:val="both"/>
        <w:rPr>
          <w:rFonts w:eastAsia="Avenir" w:cstheme="minorHAnsi"/>
          <w:bCs/>
          <w:color w:val="000000"/>
          <w:sz w:val="20"/>
          <w:szCs w:val="20"/>
        </w:rPr>
      </w:pPr>
      <w:r w:rsidRPr="00875563">
        <w:rPr>
          <w:rFonts w:eastAsia="Avenir" w:cstheme="minorHAnsi"/>
          <w:bCs/>
          <w:color w:val="000000"/>
          <w:sz w:val="20"/>
          <w:szCs w:val="20"/>
        </w:rPr>
        <w:t>Concerning GDP, the IMF report projects global GDP growth of 2.8% in 2025 and 3.0% in 2026</w:t>
      </w:r>
      <w:r w:rsidR="00A07610">
        <w:rPr>
          <w:rFonts w:eastAsia="Avenir" w:cstheme="minorHAnsi"/>
          <w:bCs/>
          <w:color w:val="000000"/>
          <w:sz w:val="20"/>
          <w:szCs w:val="20"/>
        </w:rPr>
        <w:t xml:space="preserve"> (see </w:t>
      </w:r>
      <w:r w:rsidR="00A07610" w:rsidRPr="00A07610">
        <w:rPr>
          <w:rFonts w:eastAsia="Avenir" w:cstheme="minorHAnsi"/>
          <w:b/>
          <w:color w:val="000000"/>
          <w:sz w:val="20"/>
          <w:szCs w:val="20"/>
        </w:rPr>
        <w:t>Appendix A</w:t>
      </w:r>
      <w:r w:rsidR="00A07610">
        <w:rPr>
          <w:rFonts w:eastAsia="Avenir" w:cstheme="minorHAnsi"/>
          <w:bCs/>
          <w:color w:val="000000"/>
          <w:sz w:val="20"/>
          <w:szCs w:val="20"/>
        </w:rPr>
        <w:t>)</w:t>
      </w:r>
      <w:r w:rsidRPr="00875563">
        <w:rPr>
          <w:rFonts w:eastAsia="Avenir" w:cstheme="minorHAnsi"/>
          <w:bCs/>
          <w:color w:val="000000"/>
          <w:sz w:val="20"/>
          <w:szCs w:val="20"/>
        </w:rPr>
        <w:t>. In the euro area, economic growth is expected to reach 0.8% in 2025 and 1.2% in 2026. These projections mark a significant downward revision from the IMF’s estimates released only three months earlier. A central factor underlying the latest report and its more cautious outlook is the markedly increased level of global uncertainty compared to just a short time ago.</w:t>
      </w:r>
      <w:r w:rsidRPr="00875563">
        <w:rPr>
          <w:rStyle w:val="EndnoteReference"/>
          <w:rFonts w:eastAsia="Avenir" w:cstheme="minorHAnsi"/>
          <w:bCs/>
          <w:color w:val="000000"/>
          <w:sz w:val="20"/>
          <w:szCs w:val="20"/>
        </w:rPr>
        <w:endnoteReference w:id="6"/>
      </w:r>
    </w:p>
    <w:p w14:paraId="6A0DDFAE" w14:textId="4A783CE8" w:rsidR="00875563" w:rsidRPr="00875563" w:rsidRDefault="00875563" w:rsidP="00875563">
      <w:pPr>
        <w:pBdr>
          <w:top w:val="nil"/>
          <w:left w:val="nil"/>
          <w:bottom w:val="nil"/>
          <w:right w:val="nil"/>
          <w:between w:val="nil"/>
        </w:pBdr>
        <w:spacing w:line="276" w:lineRule="auto"/>
        <w:jc w:val="both"/>
        <w:rPr>
          <w:rFonts w:eastAsia="Avenir" w:cstheme="minorHAnsi"/>
          <w:bCs/>
          <w:color w:val="000000"/>
          <w:sz w:val="20"/>
          <w:szCs w:val="20"/>
        </w:rPr>
      </w:pPr>
      <w:r w:rsidRPr="00875563">
        <w:rPr>
          <w:rFonts w:eastAsia="Avenir" w:cstheme="minorHAnsi"/>
          <w:bCs/>
          <w:color w:val="000000"/>
          <w:sz w:val="20"/>
          <w:szCs w:val="20"/>
        </w:rPr>
        <w:t>The forecasts were made based on tariff conditions as of April 4, before the Trump administration’s 90-day suspension of proposed reciprocal tariffs. However, even if the pause is prolonged, the impact on global growth would likely remain the same due to the steep and damaging escalation in tariffs between the US and China.</w:t>
      </w:r>
      <w:r w:rsidRPr="00875563">
        <w:rPr>
          <w:rStyle w:val="EndnoteReference"/>
          <w:rFonts w:eastAsia="Avenir" w:cstheme="minorHAnsi"/>
          <w:bCs/>
          <w:color w:val="000000"/>
          <w:sz w:val="20"/>
          <w:szCs w:val="20"/>
        </w:rPr>
        <w:endnoteReference w:id="7"/>
      </w:r>
    </w:p>
    <w:p w14:paraId="67EEDE19" w14:textId="77777777" w:rsidR="00E96D9D" w:rsidRDefault="00875563" w:rsidP="00875563">
      <w:pPr>
        <w:pBdr>
          <w:top w:val="nil"/>
          <w:left w:val="nil"/>
          <w:bottom w:val="nil"/>
          <w:right w:val="nil"/>
          <w:between w:val="nil"/>
        </w:pBdr>
        <w:spacing w:line="276" w:lineRule="auto"/>
        <w:jc w:val="both"/>
        <w:rPr>
          <w:rFonts w:eastAsia="Avenir" w:cstheme="minorHAnsi"/>
          <w:bCs/>
          <w:color w:val="000000"/>
          <w:sz w:val="20"/>
          <w:szCs w:val="20"/>
        </w:rPr>
      </w:pPr>
      <w:r w:rsidRPr="00875563">
        <w:rPr>
          <w:rFonts w:eastAsia="Avenir" w:cstheme="minorHAnsi"/>
          <w:bCs/>
          <w:color w:val="000000"/>
          <w:sz w:val="20"/>
          <w:szCs w:val="20"/>
        </w:rPr>
        <w:t xml:space="preserve">The IMF cautioned that global financial stability faces growing risks, economic growth is likely to slow due to the highest tariffs seen in a century, and maintaining the credibility of central banks remains crucial. </w:t>
      </w:r>
    </w:p>
    <w:p w14:paraId="289C32B3" w14:textId="79F5DB66" w:rsidR="00875563" w:rsidRPr="00875563" w:rsidRDefault="00875563" w:rsidP="00875563">
      <w:pPr>
        <w:pBdr>
          <w:top w:val="nil"/>
          <w:left w:val="nil"/>
          <w:bottom w:val="nil"/>
          <w:right w:val="nil"/>
          <w:between w:val="nil"/>
        </w:pBdr>
        <w:spacing w:line="276" w:lineRule="auto"/>
        <w:jc w:val="both"/>
        <w:rPr>
          <w:rFonts w:eastAsia="Avenir" w:cstheme="minorHAnsi"/>
          <w:bCs/>
          <w:color w:val="000000"/>
          <w:sz w:val="20"/>
          <w:szCs w:val="20"/>
        </w:rPr>
      </w:pPr>
      <w:r w:rsidRPr="00875563">
        <w:rPr>
          <w:rFonts w:eastAsia="Avenir" w:cstheme="minorHAnsi"/>
          <w:bCs/>
          <w:color w:val="000000"/>
          <w:sz w:val="20"/>
          <w:szCs w:val="20"/>
        </w:rPr>
        <w:t xml:space="preserve">According to Pierre-Olivier </w:t>
      </w:r>
      <w:proofErr w:type="spellStart"/>
      <w:r w:rsidRPr="00875563">
        <w:rPr>
          <w:rFonts w:eastAsia="Avenir" w:cstheme="minorHAnsi"/>
          <w:bCs/>
          <w:color w:val="000000"/>
          <w:sz w:val="20"/>
          <w:szCs w:val="20"/>
        </w:rPr>
        <w:t>Gourinchas</w:t>
      </w:r>
      <w:proofErr w:type="spellEnd"/>
      <w:r w:rsidRPr="00875563">
        <w:rPr>
          <w:rFonts w:eastAsia="Avenir" w:cstheme="minorHAnsi"/>
          <w:bCs/>
          <w:color w:val="000000"/>
          <w:sz w:val="20"/>
          <w:szCs w:val="20"/>
        </w:rPr>
        <w:t>, the IMF’s chief economist, the world is transitioning into a new phase as the global economic system that has shaped the past 80 years undergoes significant changes. He also emphasised that, in addition to the sharp rise in tariffs, policy uncertainty plays a major role in shaping the IMF’s outlook and, if it continues, could severely hinder global economic growth.</w:t>
      </w:r>
      <w:r w:rsidRPr="00875563">
        <w:rPr>
          <w:rStyle w:val="EndnoteReference"/>
          <w:rFonts w:eastAsia="Avenir" w:cstheme="minorHAnsi"/>
          <w:bCs/>
          <w:color w:val="000000"/>
          <w:sz w:val="20"/>
          <w:szCs w:val="20"/>
        </w:rPr>
        <w:endnoteReference w:id="8"/>
      </w:r>
    </w:p>
    <w:p w14:paraId="6C62E3C2" w14:textId="64332115" w:rsidR="00875563" w:rsidRPr="00875563" w:rsidRDefault="00875563" w:rsidP="00875563">
      <w:pPr>
        <w:pBdr>
          <w:top w:val="nil"/>
          <w:left w:val="nil"/>
          <w:bottom w:val="nil"/>
          <w:right w:val="nil"/>
          <w:between w:val="nil"/>
        </w:pBdr>
        <w:spacing w:line="276" w:lineRule="auto"/>
        <w:jc w:val="both"/>
        <w:rPr>
          <w:rFonts w:eastAsia="Avenir" w:cstheme="minorHAnsi"/>
          <w:bCs/>
          <w:color w:val="000000"/>
          <w:sz w:val="20"/>
          <w:szCs w:val="20"/>
        </w:rPr>
      </w:pPr>
      <w:r w:rsidRPr="00875563">
        <w:rPr>
          <w:rFonts w:eastAsia="Avenir" w:cstheme="minorHAnsi"/>
          <w:bCs/>
          <w:color w:val="000000"/>
          <w:sz w:val="20"/>
          <w:szCs w:val="20"/>
        </w:rPr>
        <w:t>The IMF is not expected to go so far as to predict that the US president’s policies will lead to a full-scale global recession.</w:t>
      </w:r>
      <w:r w:rsidRPr="00875563">
        <w:rPr>
          <w:rStyle w:val="EndnoteReference"/>
          <w:rFonts w:eastAsia="Avenir" w:cstheme="minorHAnsi"/>
          <w:bCs/>
          <w:color w:val="000000"/>
          <w:sz w:val="20"/>
          <w:szCs w:val="20"/>
        </w:rPr>
        <w:endnoteReference w:id="9"/>
      </w:r>
      <w:r w:rsidRPr="00875563">
        <w:rPr>
          <w:rFonts w:eastAsia="Avenir" w:cstheme="minorHAnsi"/>
          <w:bCs/>
          <w:color w:val="000000"/>
          <w:sz w:val="20"/>
          <w:szCs w:val="20"/>
        </w:rPr>
        <w:t xml:space="preserve"> However, they acknowledged that the likelihood has increased, from 17% in October to 30%. While markets have experienced turbulence and the US dollar has weakened alongside falling bond and stock prices, the IMF noted that they have not yet observed clear signs of financial market stress.</w:t>
      </w:r>
      <w:r w:rsidRPr="00875563">
        <w:rPr>
          <w:rStyle w:val="EndnoteReference"/>
          <w:rFonts w:eastAsia="Avenir" w:cstheme="minorHAnsi"/>
          <w:bCs/>
          <w:color w:val="000000"/>
          <w:sz w:val="20"/>
          <w:szCs w:val="20"/>
        </w:rPr>
        <w:endnoteReference w:id="10"/>
      </w:r>
    </w:p>
    <w:p w14:paraId="2F1D5821" w14:textId="4C170208" w:rsidR="00875563" w:rsidRPr="00875563" w:rsidRDefault="00875563" w:rsidP="00875563">
      <w:pPr>
        <w:pBdr>
          <w:top w:val="nil"/>
          <w:left w:val="nil"/>
          <w:bottom w:val="nil"/>
          <w:right w:val="nil"/>
          <w:between w:val="nil"/>
        </w:pBdr>
        <w:spacing w:line="276" w:lineRule="auto"/>
        <w:jc w:val="both"/>
        <w:rPr>
          <w:rFonts w:eastAsia="Avenir" w:cstheme="minorHAnsi"/>
          <w:bCs/>
          <w:i/>
          <w:iCs/>
          <w:color w:val="C45911" w:themeColor="accent2" w:themeShade="BF"/>
          <w:sz w:val="20"/>
          <w:szCs w:val="20"/>
        </w:rPr>
      </w:pPr>
      <w:r w:rsidRPr="00875563">
        <w:rPr>
          <w:rFonts w:eastAsia="Avenir" w:cstheme="minorHAnsi"/>
          <w:bCs/>
          <w:i/>
          <w:iCs/>
          <w:color w:val="C45911" w:themeColor="accent2" w:themeShade="BF"/>
          <w:sz w:val="20"/>
          <w:szCs w:val="20"/>
        </w:rPr>
        <w:t xml:space="preserve">1.2 US </w:t>
      </w:r>
      <w:r>
        <w:rPr>
          <w:rFonts w:eastAsia="Avenir" w:cstheme="minorHAnsi"/>
          <w:bCs/>
          <w:i/>
          <w:iCs/>
          <w:color w:val="C45911" w:themeColor="accent2" w:themeShade="BF"/>
          <w:sz w:val="20"/>
          <w:szCs w:val="20"/>
        </w:rPr>
        <w:t>F</w:t>
      </w:r>
      <w:r w:rsidRPr="00875563">
        <w:rPr>
          <w:rFonts w:eastAsia="Avenir" w:cstheme="minorHAnsi"/>
          <w:bCs/>
          <w:i/>
          <w:iCs/>
          <w:color w:val="C45911" w:themeColor="accent2" w:themeShade="BF"/>
          <w:sz w:val="20"/>
          <w:szCs w:val="20"/>
        </w:rPr>
        <w:t xml:space="preserve">orecasts </w:t>
      </w:r>
    </w:p>
    <w:p w14:paraId="652089AD" w14:textId="1BD87AD1" w:rsidR="00875563" w:rsidRPr="00875563" w:rsidRDefault="00875563" w:rsidP="00875563">
      <w:pPr>
        <w:pBdr>
          <w:top w:val="nil"/>
          <w:left w:val="nil"/>
          <w:bottom w:val="nil"/>
          <w:right w:val="nil"/>
          <w:between w:val="nil"/>
        </w:pBdr>
        <w:spacing w:line="276" w:lineRule="auto"/>
        <w:jc w:val="both"/>
        <w:rPr>
          <w:rFonts w:eastAsia="Avenir" w:cstheme="minorHAnsi"/>
          <w:bCs/>
          <w:color w:val="000000"/>
          <w:sz w:val="20"/>
          <w:szCs w:val="20"/>
        </w:rPr>
      </w:pPr>
      <w:r w:rsidRPr="00875563">
        <w:rPr>
          <w:rFonts w:eastAsia="Avenir" w:cstheme="minorHAnsi"/>
          <w:bCs/>
          <w:color w:val="000000"/>
          <w:sz w:val="20"/>
          <w:szCs w:val="20"/>
        </w:rPr>
        <w:t>The IMF has revised its US growth forecast down to 1.8%, a drop of 0.9 percentage points from its January projection. While tariffs account for less than half of that decline, the economy had already been losing momentum before the trade tensions escalated in April. The rise in tariffs is expected to add to inflationary pressures in the US, which is emerging from a period of elevated inflation.</w:t>
      </w:r>
      <w:r w:rsidRPr="00875563">
        <w:rPr>
          <w:rStyle w:val="EndnoteReference"/>
          <w:rFonts w:eastAsia="Avenir" w:cstheme="minorHAnsi"/>
          <w:bCs/>
          <w:color w:val="000000"/>
          <w:sz w:val="20"/>
          <w:szCs w:val="20"/>
        </w:rPr>
        <w:endnoteReference w:id="11"/>
      </w:r>
      <w:r w:rsidRPr="00875563">
        <w:rPr>
          <w:rFonts w:eastAsia="Avenir" w:cstheme="minorHAnsi"/>
          <w:bCs/>
          <w:color w:val="000000"/>
          <w:sz w:val="20"/>
          <w:szCs w:val="20"/>
        </w:rPr>
        <w:t xml:space="preserve"> The significant downgrade to the US economic growth forecast this year is attributed the revision primarily to the uncertainty created by trade tariffs.</w:t>
      </w:r>
      <w:r w:rsidRPr="00875563">
        <w:rPr>
          <w:rStyle w:val="EndnoteReference"/>
          <w:rFonts w:eastAsia="Avenir" w:cstheme="minorHAnsi"/>
          <w:bCs/>
          <w:color w:val="000000"/>
          <w:sz w:val="20"/>
          <w:szCs w:val="20"/>
        </w:rPr>
        <w:endnoteReference w:id="12"/>
      </w:r>
    </w:p>
    <w:p w14:paraId="601A6506" w14:textId="10BA08E9" w:rsidR="00875563" w:rsidRPr="00875563" w:rsidRDefault="00875563" w:rsidP="00875563">
      <w:pPr>
        <w:pBdr>
          <w:top w:val="nil"/>
          <w:left w:val="nil"/>
          <w:bottom w:val="nil"/>
          <w:right w:val="nil"/>
          <w:between w:val="nil"/>
        </w:pBdr>
        <w:spacing w:line="276" w:lineRule="auto"/>
        <w:jc w:val="both"/>
        <w:rPr>
          <w:rFonts w:eastAsia="Avenir" w:cstheme="minorHAnsi"/>
          <w:bCs/>
          <w:color w:val="000000"/>
          <w:sz w:val="20"/>
          <w:szCs w:val="20"/>
        </w:rPr>
      </w:pPr>
      <w:r w:rsidRPr="00875563">
        <w:rPr>
          <w:rFonts w:eastAsia="Avenir" w:cstheme="minorHAnsi"/>
          <w:bCs/>
          <w:color w:val="000000"/>
          <w:sz w:val="20"/>
          <w:szCs w:val="20"/>
        </w:rPr>
        <w:t>In addition, the IMF attributed the downward revision of the US growth forecast to increased policy uncertainty, ongoing trade tensions, and weaker-than-anticipated consumer spending. It also warned that tariffs are likely to dampen growth in 2026. Additionally, the IMF now estimates a 40% chance of a US recession occurring this year, a notable increase from the 25% probability it projected in October of the previous year.</w:t>
      </w:r>
      <w:r w:rsidRPr="00875563">
        <w:rPr>
          <w:rStyle w:val="EndnoteReference"/>
          <w:rFonts w:eastAsia="Avenir" w:cstheme="minorHAnsi"/>
          <w:bCs/>
          <w:color w:val="000000"/>
          <w:sz w:val="20"/>
          <w:szCs w:val="20"/>
        </w:rPr>
        <w:endnoteReference w:id="13"/>
      </w:r>
    </w:p>
    <w:p w14:paraId="4A5D0A5F" w14:textId="7A98C403" w:rsidR="00875563" w:rsidRPr="00875563" w:rsidRDefault="00875563" w:rsidP="00875563">
      <w:pPr>
        <w:pBdr>
          <w:top w:val="nil"/>
          <w:left w:val="nil"/>
          <w:bottom w:val="nil"/>
          <w:right w:val="nil"/>
          <w:between w:val="nil"/>
        </w:pBdr>
        <w:spacing w:line="276" w:lineRule="auto"/>
        <w:jc w:val="both"/>
        <w:rPr>
          <w:rFonts w:eastAsia="Avenir" w:cstheme="minorHAnsi"/>
          <w:bCs/>
          <w:color w:val="000000"/>
          <w:sz w:val="20"/>
          <w:szCs w:val="20"/>
        </w:rPr>
      </w:pPr>
      <w:r w:rsidRPr="00875563">
        <w:rPr>
          <w:rFonts w:eastAsia="Avenir" w:cstheme="minorHAnsi"/>
          <w:bCs/>
          <w:color w:val="000000"/>
          <w:sz w:val="20"/>
          <w:szCs w:val="20"/>
        </w:rPr>
        <w:t>Indeed, the US economy continues to face considerable uncertainty in the wake of the significant trade policy actions taken in early April. However, there has been a noticeable reduction in tensions since then. A key step toward restoring a sense of normalcy occurred on May 12, when the US and China announced an agreement to lower tariffs by a combined 115 percentage points for a minimum of 90 days. According to the terms of the deal, Chinese exports to the US will now be subject to a 30% tariff, while US exports to China will face a 10% tariff.</w:t>
      </w:r>
      <w:r w:rsidRPr="00875563">
        <w:rPr>
          <w:rStyle w:val="EndnoteReference"/>
          <w:rFonts w:eastAsia="Avenir" w:cstheme="minorHAnsi"/>
          <w:bCs/>
          <w:color w:val="000000"/>
          <w:sz w:val="20"/>
          <w:szCs w:val="20"/>
        </w:rPr>
        <w:endnoteReference w:id="14"/>
      </w:r>
    </w:p>
    <w:p w14:paraId="00E97A4A" w14:textId="7F455D8E" w:rsidR="00875563" w:rsidRPr="00875563" w:rsidRDefault="00875563" w:rsidP="00875563">
      <w:pPr>
        <w:pBdr>
          <w:top w:val="nil"/>
          <w:left w:val="nil"/>
          <w:bottom w:val="nil"/>
          <w:right w:val="nil"/>
          <w:between w:val="nil"/>
        </w:pBdr>
        <w:spacing w:line="276" w:lineRule="auto"/>
        <w:jc w:val="both"/>
        <w:rPr>
          <w:rFonts w:eastAsia="Avenir" w:cstheme="minorHAnsi"/>
          <w:bCs/>
          <w:color w:val="000000"/>
          <w:sz w:val="20"/>
          <w:szCs w:val="20"/>
        </w:rPr>
      </w:pPr>
      <w:r w:rsidRPr="00875563">
        <w:rPr>
          <w:rFonts w:eastAsia="Avenir" w:cstheme="minorHAnsi"/>
          <w:bCs/>
          <w:color w:val="000000"/>
          <w:sz w:val="20"/>
          <w:szCs w:val="20"/>
        </w:rPr>
        <w:lastRenderedPageBreak/>
        <w:t>The IMF emphasised that its forecasts are subject to significant uncertainty due to numerous unpredictable factors. While the Trump administration has postponed the implementation of certain tariffs and is actively pursuing trade agreements with multiple countries to reduce the reciprocal tariffs introduced on April 2, uncertainty remains high. The US and China seem to be entrenched in a prolonged economic dispute that may continue to weigh on global growth until a resolution is reached. Although Trump has indicated a willingness to modify tariffs in response to severe market volatility, he has not suggested any intention to reverse his broader tariff strategy.</w:t>
      </w:r>
      <w:r w:rsidRPr="00875563">
        <w:rPr>
          <w:rStyle w:val="EndnoteReference"/>
          <w:rFonts w:eastAsia="Avenir" w:cstheme="minorHAnsi"/>
          <w:bCs/>
          <w:color w:val="000000"/>
          <w:sz w:val="20"/>
          <w:szCs w:val="20"/>
        </w:rPr>
        <w:endnoteReference w:id="15"/>
      </w:r>
    </w:p>
    <w:p w14:paraId="146BE623" w14:textId="0F9F5000" w:rsidR="00875563" w:rsidRPr="00875563" w:rsidRDefault="00875563" w:rsidP="00875563">
      <w:pPr>
        <w:pBdr>
          <w:top w:val="nil"/>
          <w:left w:val="nil"/>
          <w:bottom w:val="nil"/>
          <w:right w:val="nil"/>
          <w:between w:val="nil"/>
        </w:pBdr>
        <w:spacing w:line="276" w:lineRule="auto"/>
        <w:jc w:val="both"/>
        <w:rPr>
          <w:rFonts w:eastAsia="Avenir" w:cstheme="minorHAnsi"/>
          <w:iCs/>
          <w:color w:val="000000"/>
          <w:sz w:val="20"/>
          <w:szCs w:val="20"/>
        </w:rPr>
      </w:pPr>
      <w:r w:rsidRPr="00875563">
        <w:rPr>
          <w:rFonts w:eastAsia="Avenir" w:cstheme="minorHAnsi"/>
          <w:iCs/>
          <w:color w:val="000000"/>
          <w:sz w:val="20"/>
          <w:szCs w:val="20"/>
        </w:rPr>
        <w:t>Additionally, the IMF has also raised concerns about the sharp rise in US government borrowing, particularly as yields on 10-year and 30-year Treasury bonds have spiked. Tobias Adrian, who leads the IMF’s monetary and capital markets department, noted the rare occurrence of the US dollar, stocks, and bonds all weakening at the same time. While it's still unclear how long this trend might persist, he said that capital outflows from US assets remain relatively small when compared to the significant inflows over recent years.</w:t>
      </w:r>
      <w:r w:rsidRPr="00875563">
        <w:rPr>
          <w:rStyle w:val="EndnoteReference"/>
          <w:rFonts w:eastAsia="Avenir" w:cstheme="minorHAnsi"/>
          <w:iCs/>
          <w:color w:val="000000"/>
          <w:sz w:val="20"/>
          <w:szCs w:val="20"/>
        </w:rPr>
        <w:endnoteReference w:id="16"/>
      </w:r>
    </w:p>
    <w:p w14:paraId="6670B4E1" w14:textId="798CAA11" w:rsidR="00875563" w:rsidRPr="00875563" w:rsidRDefault="00875563" w:rsidP="00875563">
      <w:pPr>
        <w:pBdr>
          <w:top w:val="nil"/>
          <w:left w:val="nil"/>
          <w:bottom w:val="nil"/>
          <w:right w:val="nil"/>
          <w:between w:val="nil"/>
        </w:pBdr>
        <w:spacing w:line="276" w:lineRule="auto"/>
        <w:jc w:val="both"/>
        <w:rPr>
          <w:rFonts w:eastAsia="Avenir" w:cstheme="minorHAnsi"/>
          <w:iCs/>
          <w:color w:val="000000"/>
          <w:sz w:val="20"/>
          <w:szCs w:val="20"/>
        </w:rPr>
      </w:pPr>
      <w:r w:rsidRPr="00875563">
        <w:rPr>
          <w:rFonts w:eastAsia="Avenir" w:cstheme="minorHAnsi"/>
          <w:iCs/>
          <w:color w:val="000000"/>
          <w:sz w:val="20"/>
          <w:szCs w:val="20"/>
        </w:rPr>
        <w:t>Although the IMF did not explicitly name the US, it highlighted a specific risk concentrated in the $29 trillion US government debt market: the basis trade. This strategy, commonly used by hedge funds, involves significant borrowing to profit from slight price discrepancies between government bonds and corresponding futures contracts. To address these growing risks, the IMF issued several policy recommendations. It emphasised the need for authorities to be ready to intervene to prevent market dysfunction and called for financial institutions to have reliable access to central bank support mechanisms in the event of a crisis.</w:t>
      </w:r>
      <w:r w:rsidRPr="00875563">
        <w:rPr>
          <w:rStyle w:val="EndnoteReference"/>
          <w:rFonts w:eastAsia="Avenir" w:cstheme="minorHAnsi"/>
          <w:iCs/>
          <w:color w:val="000000"/>
          <w:sz w:val="20"/>
          <w:szCs w:val="20"/>
        </w:rPr>
        <w:endnoteReference w:id="17"/>
      </w:r>
    </w:p>
    <w:p w14:paraId="02BA360A" w14:textId="77777777" w:rsidR="00E96D9D" w:rsidRDefault="00875563" w:rsidP="00875563">
      <w:pPr>
        <w:pBdr>
          <w:top w:val="nil"/>
          <w:left w:val="nil"/>
          <w:bottom w:val="nil"/>
          <w:right w:val="nil"/>
          <w:between w:val="nil"/>
        </w:pBdr>
        <w:spacing w:line="276" w:lineRule="auto"/>
        <w:jc w:val="both"/>
        <w:rPr>
          <w:rFonts w:eastAsia="Avenir" w:cstheme="minorHAnsi"/>
          <w:iCs/>
          <w:color w:val="000000"/>
          <w:sz w:val="20"/>
          <w:szCs w:val="20"/>
        </w:rPr>
      </w:pPr>
      <w:r w:rsidRPr="00875563">
        <w:rPr>
          <w:rFonts w:eastAsia="Avenir" w:cstheme="minorHAnsi"/>
          <w:iCs/>
          <w:color w:val="000000"/>
          <w:sz w:val="20"/>
          <w:szCs w:val="20"/>
        </w:rPr>
        <w:t xml:space="preserve">Even with questions emerging about the safe-haven status of the US dollar and Treasury securities, the IMF emphasised the ongoing strength of US financial markets. </w:t>
      </w:r>
    </w:p>
    <w:p w14:paraId="57D623CB" w14:textId="51CB63A3" w:rsidR="00875563" w:rsidRPr="00875563" w:rsidRDefault="00875563" w:rsidP="00875563">
      <w:pPr>
        <w:pBdr>
          <w:top w:val="nil"/>
          <w:left w:val="nil"/>
          <w:bottom w:val="nil"/>
          <w:right w:val="nil"/>
          <w:between w:val="nil"/>
        </w:pBdr>
        <w:spacing w:line="276" w:lineRule="auto"/>
        <w:jc w:val="both"/>
        <w:rPr>
          <w:rFonts w:eastAsia="Avenir" w:cstheme="minorHAnsi"/>
          <w:iCs/>
          <w:color w:val="000000"/>
          <w:sz w:val="20"/>
          <w:szCs w:val="20"/>
        </w:rPr>
      </w:pPr>
      <w:r w:rsidRPr="00875563">
        <w:rPr>
          <w:rFonts w:eastAsia="Avenir" w:cstheme="minorHAnsi"/>
          <w:iCs/>
          <w:color w:val="000000"/>
          <w:sz w:val="20"/>
          <w:szCs w:val="20"/>
        </w:rPr>
        <w:t>The dollar continues to make up 60% of global foreign exchange reserves, and the US now accounts for over half of global market capitalisation - a significant rise from 2010. Although recent market volatility has been notable, IMF officials said financial markets are still operating in an orderly manner. However, they are closely monitoring potential stress points, particularly in the pricing of long-term Treasury debt, cross-currency lending, and the short-term repo market.</w:t>
      </w:r>
      <w:r w:rsidRPr="00875563">
        <w:rPr>
          <w:rStyle w:val="EndnoteReference"/>
          <w:rFonts w:eastAsia="Avenir" w:cstheme="minorHAnsi"/>
          <w:iCs/>
          <w:color w:val="000000"/>
          <w:sz w:val="20"/>
          <w:szCs w:val="20"/>
        </w:rPr>
        <w:endnoteReference w:id="18"/>
      </w:r>
    </w:p>
    <w:p w14:paraId="11DE1A7F" w14:textId="437E02B4" w:rsidR="00875563" w:rsidRPr="00875563" w:rsidRDefault="00875563" w:rsidP="00875563">
      <w:pPr>
        <w:pBdr>
          <w:top w:val="nil"/>
          <w:left w:val="nil"/>
          <w:bottom w:val="nil"/>
          <w:right w:val="nil"/>
          <w:between w:val="nil"/>
        </w:pBdr>
        <w:spacing w:line="276" w:lineRule="auto"/>
        <w:jc w:val="both"/>
        <w:rPr>
          <w:rFonts w:eastAsia="Avenir" w:cstheme="minorHAnsi"/>
          <w:i/>
          <w:color w:val="C45911" w:themeColor="accent2" w:themeShade="BF"/>
          <w:sz w:val="20"/>
          <w:szCs w:val="20"/>
        </w:rPr>
      </w:pPr>
      <w:r w:rsidRPr="00875563">
        <w:rPr>
          <w:rFonts w:eastAsia="Avenir" w:cstheme="minorHAnsi"/>
          <w:i/>
          <w:color w:val="C45911" w:themeColor="accent2" w:themeShade="BF"/>
          <w:sz w:val="20"/>
          <w:szCs w:val="20"/>
        </w:rPr>
        <w:t>1.3 Global</w:t>
      </w:r>
      <w:r>
        <w:rPr>
          <w:rFonts w:eastAsia="Avenir" w:cstheme="minorHAnsi"/>
          <w:i/>
          <w:color w:val="C45911" w:themeColor="accent2" w:themeShade="BF"/>
          <w:sz w:val="20"/>
          <w:szCs w:val="20"/>
        </w:rPr>
        <w:t xml:space="preserve"> F</w:t>
      </w:r>
      <w:r w:rsidRPr="00875563">
        <w:rPr>
          <w:rFonts w:eastAsia="Avenir" w:cstheme="minorHAnsi"/>
          <w:i/>
          <w:color w:val="C45911" w:themeColor="accent2" w:themeShade="BF"/>
          <w:sz w:val="20"/>
          <w:szCs w:val="20"/>
        </w:rPr>
        <w:t xml:space="preserve">inancial </w:t>
      </w:r>
      <w:r>
        <w:rPr>
          <w:rFonts w:eastAsia="Avenir" w:cstheme="minorHAnsi"/>
          <w:i/>
          <w:color w:val="C45911" w:themeColor="accent2" w:themeShade="BF"/>
          <w:sz w:val="20"/>
          <w:szCs w:val="20"/>
        </w:rPr>
        <w:t>M</w:t>
      </w:r>
      <w:r w:rsidRPr="00875563">
        <w:rPr>
          <w:rFonts w:eastAsia="Avenir" w:cstheme="minorHAnsi"/>
          <w:i/>
          <w:color w:val="C45911" w:themeColor="accent2" w:themeShade="BF"/>
          <w:sz w:val="20"/>
          <w:szCs w:val="20"/>
        </w:rPr>
        <w:t xml:space="preserve">arkets </w:t>
      </w:r>
    </w:p>
    <w:p w14:paraId="118EB6E2" w14:textId="6C4B09D5" w:rsidR="00875563" w:rsidRPr="00875563" w:rsidRDefault="00875563" w:rsidP="00875563">
      <w:pPr>
        <w:pBdr>
          <w:top w:val="nil"/>
          <w:left w:val="nil"/>
          <w:bottom w:val="nil"/>
          <w:right w:val="nil"/>
          <w:between w:val="nil"/>
        </w:pBdr>
        <w:spacing w:line="276" w:lineRule="auto"/>
        <w:jc w:val="both"/>
        <w:rPr>
          <w:rFonts w:eastAsia="Avenir" w:cstheme="minorHAnsi"/>
          <w:iCs/>
          <w:color w:val="000000"/>
          <w:sz w:val="20"/>
          <w:szCs w:val="20"/>
        </w:rPr>
      </w:pPr>
      <w:r w:rsidRPr="00875563">
        <w:rPr>
          <w:rFonts w:eastAsia="Avenir" w:cstheme="minorHAnsi"/>
          <w:iCs/>
          <w:color w:val="000000"/>
          <w:sz w:val="20"/>
          <w:szCs w:val="20"/>
        </w:rPr>
        <w:t>In addition to the negative impact on individual economies, the IMF cautioned that this new period of heightened uncertainty poses a broader risk of disruption to global financial markets. The IMF warned that global financial stability risks have risen sharply over the past two months due to surging policy uncertainty, coinciding with historically high valuations in both stock and bond markets.</w:t>
      </w:r>
      <w:r w:rsidRPr="00875563">
        <w:rPr>
          <w:rStyle w:val="EndnoteReference"/>
          <w:rFonts w:eastAsia="Avenir" w:cstheme="minorHAnsi"/>
          <w:iCs/>
          <w:color w:val="000000"/>
          <w:sz w:val="20"/>
          <w:szCs w:val="20"/>
        </w:rPr>
        <w:endnoteReference w:id="19"/>
      </w:r>
      <w:r w:rsidRPr="00875563">
        <w:rPr>
          <w:rFonts w:cstheme="minorHAnsi"/>
          <w:sz w:val="20"/>
          <w:szCs w:val="20"/>
        </w:rPr>
        <w:t xml:space="preserve"> </w:t>
      </w:r>
    </w:p>
    <w:p w14:paraId="55A23F8E" w14:textId="28AAB1B1" w:rsidR="00875563" w:rsidRPr="00875563" w:rsidRDefault="00875563" w:rsidP="00875563">
      <w:pPr>
        <w:pBdr>
          <w:top w:val="nil"/>
          <w:left w:val="nil"/>
          <w:bottom w:val="nil"/>
          <w:right w:val="nil"/>
          <w:between w:val="nil"/>
        </w:pBdr>
        <w:spacing w:line="276" w:lineRule="auto"/>
        <w:jc w:val="both"/>
        <w:rPr>
          <w:rFonts w:eastAsia="Avenir" w:cstheme="minorHAnsi"/>
          <w:iCs/>
          <w:color w:val="000000"/>
          <w:sz w:val="20"/>
          <w:szCs w:val="20"/>
        </w:rPr>
      </w:pPr>
      <w:r w:rsidRPr="00875563">
        <w:rPr>
          <w:rFonts w:eastAsia="Avenir" w:cstheme="minorHAnsi"/>
          <w:iCs/>
          <w:color w:val="000000"/>
          <w:sz w:val="20"/>
          <w:szCs w:val="20"/>
        </w:rPr>
        <w:t xml:space="preserve">The IMF’s world trade uncertainty index has surged to a level seven times higher than it was in October 2024, </w:t>
      </w:r>
      <w:proofErr w:type="gramStart"/>
      <w:r w:rsidRPr="00875563">
        <w:rPr>
          <w:rFonts w:eastAsia="Avenir" w:cstheme="minorHAnsi"/>
          <w:iCs/>
          <w:color w:val="000000"/>
          <w:sz w:val="20"/>
          <w:szCs w:val="20"/>
        </w:rPr>
        <w:t>exceeding</w:t>
      </w:r>
      <w:proofErr w:type="gramEnd"/>
      <w:r w:rsidRPr="00875563">
        <w:rPr>
          <w:rFonts w:eastAsia="Avenir" w:cstheme="minorHAnsi"/>
          <w:iCs/>
          <w:color w:val="000000"/>
          <w:sz w:val="20"/>
          <w:szCs w:val="20"/>
        </w:rPr>
        <w:t xml:space="preserve"> even the peak reached during the pandemic. This heightened uncertainty poses a more serious threat to the global economy than the imposition of high but clearly defined tariffs. When tariffs are predictable, businesses can adapt their supply chains, and consumers can seek alternatives. While such adjustments carry economic costs, they allow for planning and risk management.</w:t>
      </w:r>
      <w:r w:rsidRPr="00875563">
        <w:rPr>
          <w:rStyle w:val="EndnoteReference"/>
          <w:rFonts w:eastAsia="Avenir" w:cstheme="minorHAnsi"/>
          <w:iCs/>
          <w:color w:val="000000"/>
          <w:sz w:val="20"/>
          <w:szCs w:val="20"/>
        </w:rPr>
        <w:endnoteReference w:id="20"/>
      </w:r>
    </w:p>
    <w:p w14:paraId="0F100719" w14:textId="6272EF3B" w:rsidR="00875563" w:rsidRPr="00875563" w:rsidRDefault="00875563" w:rsidP="00875563">
      <w:pPr>
        <w:pBdr>
          <w:top w:val="nil"/>
          <w:left w:val="nil"/>
          <w:bottom w:val="nil"/>
          <w:right w:val="nil"/>
          <w:between w:val="nil"/>
        </w:pBdr>
        <w:spacing w:line="276" w:lineRule="auto"/>
        <w:jc w:val="both"/>
        <w:rPr>
          <w:rFonts w:eastAsia="Avenir" w:cstheme="minorHAnsi"/>
          <w:iCs/>
          <w:color w:val="000000"/>
          <w:sz w:val="20"/>
          <w:szCs w:val="20"/>
        </w:rPr>
      </w:pPr>
      <w:r w:rsidRPr="00875563">
        <w:rPr>
          <w:rFonts w:eastAsia="Avenir" w:cstheme="minorHAnsi"/>
          <w:iCs/>
          <w:color w:val="000000"/>
          <w:sz w:val="20"/>
          <w:szCs w:val="20"/>
        </w:rPr>
        <w:t>In contrast, the current environment offers no such clarity. Companies are unable to assess the potential impact of tariffs, as their levels appear to change unpredictably. For instance, a US firm might purchase goods from the EU, assuming a 10% tariff, only to face a sudden increase to 100% upon arrival, triggered not by formal policy, but by an offhand remark from a presidential advisor. Reports suggest that key tariff decisions have been made with minimal coordination, and in at least one case, halted only due to the temporary absence of a key advisor. This extreme policy volatility leaves both consumers and businesses uncertain, making inaction the most rational, if economically paralysing, response.</w:t>
      </w:r>
      <w:r w:rsidRPr="00875563">
        <w:rPr>
          <w:rStyle w:val="EndnoteReference"/>
          <w:rFonts w:eastAsia="Avenir" w:cstheme="minorHAnsi"/>
          <w:iCs/>
          <w:color w:val="000000"/>
          <w:sz w:val="20"/>
          <w:szCs w:val="20"/>
        </w:rPr>
        <w:endnoteReference w:id="21"/>
      </w:r>
    </w:p>
    <w:p w14:paraId="74ED0665" w14:textId="77777777" w:rsidR="00875563" w:rsidRDefault="00875563" w:rsidP="00875563">
      <w:pPr>
        <w:pBdr>
          <w:top w:val="nil"/>
          <w:left w:val="nil"/>
          <w:bottom w:val="nil"/>
          <w:right w:val="nil"/>
          <w:between w:val="nil"/>
        </w:pBdr>
        <w:spacing w:line="276" w:lineRule="auto"/>
        <w:jc w:val="both"/>
        <w:rPr>
          <w:rFonts w:eastAsia="Avenir" w:cstheme="minorHAnsi"/>
          <w:iCs/>
          <w:color w:val="000000"/>
          <w:sz w:val="20"/>
          <w:szCs w:val="20"/>
        </w:rPr>
      </w:pPr>
      <w:r w:rsidRPr="00875563">
        <w:rPr>
          <w:rFonts w:eastAsia="Avenir" w:cstheme="minorHAnsi"/>
          <w:iCs/>
          <w:color w:val="000000"/>
          <w:sz w:val="20"/>
          <w:szCs w:val="20"/>
        </w:rPr>
        <w:t xml:space="preserve">As such, potential slowdown in economic growth caused by tariffs, along with increased policy uncertainty and tighter financial conditions, is raising concerns about the strength and stability of global financial markets. The </w:t>
      </w:r>
      <w:r w:rsidRPr="00875563">
        <w:rPr>
          <w:rFonts w:eastAsia="Avenir" w:cstheme="minorHAnsi"/>
          <w:iCs/>
          <w:color w:val="000000"/>
          <w:sz w:val="20"/>
          <w:szCs w:val="20"/>
        </w:rPr>
        <w:lastRenderedPageBreak/>
        <w:t>IMF pointed to three key risk areas. First, it noted that stock and corporate bond prices remain elevated despite recent market declines. Second, it warned that hedge funds and other nonbank financial entities have taken on more leverage, which could amplify market selloffs. Lastly, the IMF highlighted that many countries have accumulated high levels of debt, leading to growing investor worries about whether this borrowing is sustainable.</w:t>
      </w:r>
      <w:r w:rsidRPr="00875563">
        <w:rPr>
          <w:rStyle w:val="EndnoteReference"/>
          <w:rFonts w:eastAsia="Avenir" w:cstheme="minorHAnsi"/>
          <w:iCs/>
          <w:color w:val="000000"/>
          <w:sz w:val="20"/>
          <w:szCs w:val="20"/>
        </w:rPr>
        <w:endnoteReference w:id="22"/>
      </w:r>
    </w:p>
    <w:p w14:paraId="1650E1B2" w14:textId="77777777" w:rsidR="0078789D" w:rsidRPr="00875563" w:rsidRDefault="0078789D" w:rsidP="00875563">
      <w:pPr>
        <w:pBdr>
          <w:top w:val="nil"/>
          <w:left w:val="nil"/>
          <w:bottom w:val="nil"/>
          <w:right w:val="nil"/>
          <w:between w:val="nil"/>
        </w:pBdr>
        <w:spacing w:line="276" w:lineRule="auto"/>
        <w:jc w:val="both"/>
        <w:rPr>
          <w:rFonts w:eastAsia="Avenir" w:cstheme="minorHAnsi"/>
          <w:iCs/>
          <w:color w:val="000000"/>
          <w:sz w:val="20"/>
          <w:szCs w:val="20"/>
        </w:rPr>
      </w:pPr>
    </w:p>
    <w:p w14:paraId="441B595C" w14:textId="59A7DB8B" w:rsidR="00875563" w:rsidRDefault="0078789D" w:rsidP="00875563">
      <w:pPr>
        <w:pBdr>
          <w:top w:val="nil"/>
          <w:left w:val="nil"/>
          <w:bottom w:val="nil"/>
          <w:right w:val="nil"/>
          <w:between w:val="nil"/>
        </w:pBdr>
        <w:spacing w:line="276" w:lineRule="auto"/>
        <w:jc w:val="both"/>
        <w:rPr>
          <w:rFonts w:ascii="Avenir" w:eastAsia="Avenir" w:hAnsi="Avenir" w:cs="Avenir"/>
          <w:b/>
          <w:bCs/>
          <w:iCs/>
          <w:color w:val="C45911" w:themeColor="accent2" w:themeShade="BF"/>
        </w:rPr>
      </w:pPr>
      <w:r w:rsidRPr="0078789D">
        <w:rPr>
          <w:rFonts w:ascii="Avenir" w:eastAsia="Avenir" w:hAnsi="Avenir" w:cs="Avenir"/>
          <w:b/>
          <w:bCs/>
          <w:iCs/>
          <w:color w:val="C45911" w:themeColor="accent2" w:themeShade="BF"/>
        </w:rPr>
        <w:t>APPENDIX</w:t>
      </w:r>
    </w:p>
    <w:p w14:paraId="6BE19860" w14:textId="765DE825" w:rsidR="0078789D" w:rsidRPr="0078789D" w:rsidRDefault="0078789D" w:rsidP="00875563">
      <w:pPr>
        <w:pBdr>
          <w:top w:val="nil"/>
          <w:left w:val="nil"/>
          <w:bottom w:val="nil"/>
          <w:right w:val="nil"/>
          <w:between w:val="nil"/>
        </w:pBdr>
        <w:spacing w:line="276" w:lineRule="auto"/>
        <w:jc w:val="both"/>
        <w:rPr>
          <w:rFonts w:ascii="Avenir" w:eastAsia="Avenir" w:hAnsi="Avenir" w:cs="Avenir"/>
          <w:b/>
          <w:bCs/>
          <w:iCs/>
          <w:color w:val="000000"/>
        </w:rPr>
      </w:pPr>
      <w:r>
        <w:rPr>
          <w:rFonts w:ascii="Avenir" w:eastAsia="Avenir" w:hAnsi="Avenir" w:cs="Avenir"/>
          <w:b/>
          <w:bCs/>
          <w:iCs/>
          <w:color w:val="C45911" w:themeColor="accent2" w:themeShade="BF"/>
        </w:rPr>
        <w:t>A) Change In Real GDP Estimates</w:t>
      </w:r>
    </w:p>
    <w:p w14:paraId="2B2B37B8" w14:textId="5343C235" w:rsidR="003D2277" w:rsidRDefault="0078789D" w:rsidP="00587B13">
      <w:pPr>
        <w:jc w:val="both"/>
        <w:rPr>
          <w:rFonts w:ascii="Avenir" w:eastAsia="Avenir" w:hAnsi="Avenir" w:cs="Avenir"/>
          <w:iCs/>
          <w:color w:val="000000"/>
        </w:rPr>
      </w:pPr>
      <w:r w:rsidRPr="0078789D">
        <w:rPr>
          <w:rFonts w:ascii="Avenir" w:eastAsia="Avenir" w:hAnsi="Avenir" w:cs="Avenir"/>
          <w:iCs/>
          <w:color w:val="000000"/>
        </w:rPr>
        <w:drawing>
          <wp:inline distT="0" distB="0" distL="0" distR="0" wp14:anchorId="697E5CEB" wp14:editId="3BF20F7A">
            <wp:extent cx="4796430" cy="5172710"/>
            <wp:effectExtent l="0" t="0" r="4445" b="8890"/>
            <wp:docPr id="400060075" name="Picture 1" descr="A table of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60075" name="Picture 1" descr="A table of numbers and symbols&#10;&#10;Description automatically generated"/>
                    <pic:cNvPicPr/>
                  </pic:nvPicPr>
                  <pic:blipFill rotWithShape="1">
                    <a:blip r:embed="rId13"/>
                    <a:srcRect t="513"/>
                    <a:stretch/>
                  </pic:blipFill>
                  <pic:spPr bwMode="auto">
                    <a:xfrm>
                      <a:off x="0" y="0"/>
                      <a:ext cx="4799857" cy="5176406"/>
                    </a:xfrm>
                    <a:prstGeom prst="rect">
                      <a:avLst/>
                    </a:prstGeom>
                    <a:ln>
                      <a:noFill/>
                    </a:ln>
                    <a:extLst>
                      <a:ext uri="{53640926-AAD7-44D8-BBD7-CCE9431645EC}">
                        <a14:shadowObscured xmlns:a14="http://schemas.microsoft.com/office/drawing/2010/main"/>
                      </a:ext>
                    </a:extLst>
                  </pic:spPr>
                </pic:pic>
              </a:graphicData>
            </a:graphic>
          </wp:inline>
        </w:drawing>
      </w:r>
    </w:p>
    <w:p w14:paraId="274D0070" w14:textId="77777777" w:rsidR="0078789D" w:rsidRDefault="0078789D" w:rsidP="00587B13">
      <w:pPr>
        <w:jc w:val="both"/>
        <w:rPr>
          <w:rFonts w:ascii="Avenir" w:eastAsia="Avenir" w:hAnsi="Avenir" w:cs="Avenir"/>
          <w:iCs/>
          <w:color w:val="000000"/>
        </w:rPr>
      </w:pPr>
    </w:p>
    <w:p w14:paraId="0CB405C2" w14:textId="77777777" w:rsidR="0078789D" w:rsidRDefault="0078789D" w:rsidP="00587B13">
      <w:pPr>
        <w:jc w:val="both"/>
        <w:rPr>
          <w:rFonts w:ascii="Avenir" w:eastAsia="Avenir" w:hAnsi="Avenir" w:cs="Avenir"/>
          <w:iCs/>
          <w:color w:val="000000"/>
        </w:rPr>
      </w:pPr>
    </w:p>
    <w:p w14:paraId="4751AF93" w14:textId="77777777" w:rsidR="0078789D" w:rsidRDefault="0078789D" w:rsidP="00587B13">
      <w:pPr>
        <w:jc w:val="both"/>
        <w:rPr>
          <w:rFonts w:ascii="Avenir" w:eastAsia="Avenir" w:hAnsi="Avenir" w:cs="Avenir"/>
          <w:iCs/>
          <w:color w:val="000000"/>
        </w:rPr>
      </w:pPr>
    </w:p>
    <w:p w14:paraId="008ED672" w14:textId="77777777" w:rsidR="0078789D" w:rsidRDefault="0078789D" w:rsidP="00587B13">
      <w:pPr>
        <w:jc w:val="both"/>
        <w:rPr>
          <w:rFonts w:ascii="Avenir" w:eastAsia="Avenir" w:hAnsi="Avenir" w:cs="Avenir"/>
          <w:iCs/>
          <w:color w:val="000000"/>
        </w:rPr>
      </w:pPr>
    </w:p>
    <w:p w14:paraId="6BC10DEF" w14:textId="77777777" w:rsidR="0078789D" w:rsidRDefault="0078789D" w:rsidP="00587B13">
      <w:pPr>
        <w:jc w:val="both"/>
        <w:rPr>
          <w:rFonts w:ascii="Avenir" w:eastAsia="Avenir" w:hAnsi="Avenir" w:cs="Avenir"/>
          <w:iCs/>
          <w:color w:val="000000"/>
        </w:rPr>
      </w:pPr>
    </w:p>
    <w:p w14:paraId="0D624BAE" w14:textId="77777777" w:rsidR="0078789D" w:rsidRDefault="0078789D" w:rsidP="00587B13">
      <w:pPr>
        <w:jc w:val="both"/>
        <w:rPr>
          <w:rFonts w:ascii="Avenir" w:eastAsia="Avenir" w:hAnsi="Avenir" w:cs="Avenir"/>
          <w:iCs/>
          <w:color w:val="000000"/>
        </w:rPr>
      </w:pPr>
    </w:p>
    <w:p w14:paraId="45C1F95B" w14:textId="1E272565" w:rsidR="0078789D" w:rsidRPr="0078789D" w:rsidRDefault="0078789D" w:rsidP="00587B13">
      <w:pPr>
        <w:jc w:val="both"/>
        <w:rPr>
          <w:rFonts w:ascii="Avenir" w:eastAsia="Avenir" w:hAnsi="Avenir" w:cs="Avenir"/>
          <w:b/>
          <w:bCs/>
          <w:iCs/>
          <w:color w:val="C45911" w:themeColor="accent2" w:themeShade="BF"/>
        </w:rPr>
      </w:pPr>
      <w:r w:rsidRPr="0078789D">
        <w:rPr>
          <w:rFonts w:ascii="Avenir" w:eastAsia="Avenir" w:hAnsi="Avenir" w:cs="Avenir"/>
          <w:b/>
          <w:bCs/>
          <w:iCs/>
          <w:color w:val="C45911" w:themeColor="accent2" w:themeShade="BF"/>
        </w:rPr>
        <w:lastRenderedPageBreak/>
        <w:t>B) Inflation Estimates</w:t>
      </w:r>
    </w:p>
    <w:p w14:paraId="09106F51" w14:textId="2538DC07" w:rsidR="0078789D" w:rsidRDefault="0078789D" w:rsidP="00587B13">
      <w:pPr>
        <w:jc w:val="both"/>
        <w:rPr>
          <w:rFonts w:ascii="Avenir" w:eastAsia="Avenir" w:hAnsi="Avenir" w:cs="Avenir"/>
          <w:iCs/>
          <w:color w:val="000000"/>
        </w:rPr>
      </w:pPr>
      <w:r w:rsidRPr="0078789D">
        <w:rPr>
          <w:rFonts w:ascii="Avenir" w:eastAsia="Avenir" w:hAnsi="Avenir" w:cs="Avenir"/>
          <w:iCs/>
          <w:color w:val="000000"/>
        </w:rPr>
        <w:drawing>
          <wp:inline distT="0" distB="0" distL="0" distR="0" wp14:anchorId="115DB9F5" wp14:editId="53B3B56F">
            <wp:extent cx="5018205" cy="4362828"/>
            <wp:effectExtent l="0" t="0" r="0" b="0"/>
            <wp:docPr id="38473493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34939" name="Picture 1" descr="A screenshot of a graph&#10;&#10;Description automatically generated"/>
                    <pic:cNvPicPr/>
                  </pic:nvPicPr>
                  <pic:blipFill>
                    <a:blip r:embed="rId14"/>
                    <a:stretch>
                      <a:fillRect/>
                    </a:stretch>
                  </pic:blipFill>
                  <pic:spPr>
                    <a:xfrm>
                      <a:off x="0" y="0"/>
                      <a:ext cx="5018205" cy="4362828"/>
                    </a:xfrm>
                    <a:prstGeom prst="rect">
                      <a:avLst/>
                    </a:prstGeom>
                  </pic:spPr>
                </pic:pic>
              </a:graphicData>
            </a:graphic>
          </wp:inline>
        </w:drawing>
      </w:r>
    </w:p>
    <w:p w14:paraId="34FB6745" w14:textId="77777777" w:rsidR="0078789D" w:rsidRPr="00587B13" w:rsidRDefault="0078789D" w:rsidP="00587B13">
      <w:pPr>
        <w:jc w:val="both"/>
        <w:rPr>
          <w:rFonts w:ascii="Avenir" w:eastAsia="Avenir" w:hAnsi="Avenir" w:cs="Avenir"/>
          <w:iCs/>
          <w:color w:val="000000"/>
        </w:rPr>
      </w:pPr>
    </w:p>
    <w:p w14:paraId="0E19CC2C" w14:textId="77777777" w:rsidR="0078789D" w:rsidRDefault="0078789D">
      <w:pPr>
        <w:spacing w:after="0" w:line="240" w:lineRule="auto"/>
        <w:rPr>
          <w:b/>
          <w:bCs/>
          <w:color w:val="C45911" w:themeColor="accent2" w:themeShade="BF"/>
          <w:sz w:val="20"/>
          <w:szCs w:val="20"/>
        </w:rPr>
      </w:pPr>
      <w:r>
        <w:rPr>
          <w:b/>
          <w:bCs/>
          <w:color w:val="C45911" w:themeColor="accent2" w:themeShade="BF"/>
          <w:sz w:val="20"/>
          <w:szCs w:val="20"/>
        </w:rPr>
        <w:br w:type="page"/>
      </w:r>
    </w:p>
    <w:p w14:paraId="4427985F" w14:textId="0B9FD778" w:rsidR="00AB7AD2" w:rsidRPr="00587B13" w:rsidRDefault="00587B13">
      <w:pPr>
        <w:rPr>
          <w:b/>
          <w:bCs/>
          <w:color w:val="C45911" w:themeColor="accent2" w:themeShade="BF"/>
          <w:sz w:val="20"/>
          <w:szCs w:val="20"/>
        </w:rPr>
      </w:pPr>
      <w:r w:rsidRPr="00587B13">
        <w:rPr>
          <w:b/>
          <w:bCs/>
          <w:color w:val="C45911" w:themeColor="accent2" w:themeShade="BF"/>
          <w:sz w:val="20"/>
          <w:szCs w:val="20"/>
        </w:rPr>
        <w:lastRenderedPageBreak/>
        <w:t>NOTES</w:t>
      </w:r>
    </w:p>
    <w:sectPr w:rsidR="00AB7AD2" w:rsidRPr="00587B13" w:rsidSect="004D0485">
      <w:headerReference w:type="default" r:id="rId15"/>
      <w:footerReference w:type="default" r:id="rId16"/>
      <w:endnotePr>
        <w:numFmt w:val="decimal"/>
      </w:endnotePr>
      <w:pgSz w:w="11906" w:h="16838"/>
      <w:pgMar w:top="1440" w:right="1440" w:bottom="1440" w:left="1440" w:header="708" w:footer="708" w:gutter="0"/>
      <w:pgBorders w:display="firstPage" w:offsetFrom="page">
        <w:top w:val="double" w:sz="4" w:space="24" w:color="C45911" w:themeColor="accent2" w:themeShade="BF"/>
        <w:left w:val="double" w:sz="4" w:space="24" w:color="C45911" w:themeColor="accent2" w:themeShade="BF"/>
        <w:bottom w:val="double" w:sz="4" w:space="24" w:color="C45911" w:themeColor="accent2" w:themeShade="BF"/>
        <w:right w:val="double" w:sz="4" w:space="24" w:color="C45911" w:themeColor="accent2"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7CB376" w14:textId="77777777" w:rsidR="00A940D5" w:rsidRDefault="00A940D5" w:rsidP="00875563">
      <w:pPr>
        <w:spacing w:after="0" w:line="240" w:lineRule="auto"/>
      </w:pPr>
      <w:r>
        <w:separator/>
      </w:r>
    </w:p>
  </w:endnote>
  <w:endnote w:type="continuationSeparator" w:id="0">
    <w:p w14:paraId="5E1C4F6C" w14:textId="77777777" w:rsidR="00A940D5" w:rsidRDefault="00A940D5" w:rsidP="00875563">
      <w:pPr>
        <w:spacing w:after="0" w:line="240" w:lineRule="auto"/>
      </w:pPr>
      <w:r>
        <w:continuationSeparator/>
      </w:r>
    </w:p>
  </w:endnote>
  <w:endnote w:id="1">
    <w:p w14:paraId="7AEFDF51" w14:textId="77777777" w:rsidR="00875563" w:rsidRDefault="00875563" w:rsidP="00587B13">
      <w:pPr>
        <w:pStyle w:val="EndnoteText"/>
        <w:spacing w:line="276" w:lineRule="auto"/>
        <w:jc w:val="both"/>
      </w:pPr>
      <w:r>
        <w:rPr>
          <w:rStyle w:val="EndnoteReference"/>
        </w:rPr>
        <w:endnoteRef/>
      </w:r>
      <w:r>
        <w:t xml:space="preserve"> </w:t>
      </w:r>
      <w:r w:rsidRPr="008D366E">
        <w:t>Andrea Shalal</w:t>
      </w:r>
      <w:r>
        <w:t>, “</w:t>
      </w:r>
      <w:r w:rsidRPr="008D366E">
        <w:t>IMF cuts growth forecasts for most countries in wake of century-high US tariffs</w:t>
      </w:r>
      <w:r>
        <w:t xml:space="preserve">”, Reuters, accessed 17 May 2025, </w:t>
      </w:r>
      <w:hyperlink r:id="rId1" w:history="1">
        <w:r w:rsidRPr="001274C3">
          <w:rPr>
            <w:rStyle w:val="Hyperlink"/>
          </w:rPr>
          <w:t>https://www.reuters.com/business/imf-cuts-growth-forecasts-most-countries-wake-century-high-us-tariffs-2025-04-22/</w:t>
        </w:r>
      </w:hyperlink>
      <w:r>
        <w:t>.</w:t>
      </w:r>
    </w:p>
  </w:endnote>
  <w:endnote w:id="2">
    <w:p w14:paraId="5F571EFC" w14:textId="77777777" w:rsidR="00875563" w:rsidRDefault="00875563" w:rsidP="00587B13">
      <w:pPr>
        <w:pStyle w:val="EndnoteText"/>
        <w:spacing w:line="276" w:lineRule="auto"/>
        <w:jc w:val="both"/>
      </w:pPr>
      <w:r>
        <w:rPr>
          <w:rStyle w:val="EndnoteReference"/>
        </w:rPr>
        <w:endnoteRef/>
      </w:r>
      <w:r>
        <w:t xml:space="preserve"> </w:t>
      </w:r>
      <w:r w:rsidRPr="008D366E">
        <w:t>Imogen James</w:t>
      </w:r>
      <w:r>
        <w:t>, “</w:t>
      </w:r>
      <w:r w:rsidRPr="008D366E">
        <w:t>Global growth forecast slashed by IMF over tariff impact</w:t>
      </w:r>
      <w:r>
        <w:t xml:space="preserve">”, BBC, accessed 18 May 2025, </w:t>
      </w:r>
      <w:hyperlink r:id="rId2" w:history="1">
        <w:r w:rsidRPr="001274C3">
          <w:rPr>
            <w:rStyle w:val="Hyperlink"/>
          </w:rPr>
          <w:t>https://www.bbc.co.uk/news/live/c4g2l654dket</w:t>
        </w:r>
      </w:hyperlink>
      <w:r>
        <w:t xml:space="preserve">. </w:t>
      </w:r>
    </w:p>
  </w:endnote>
  <w:endnote w:id="3">
    <w:p w14:paraId="2C4C8D6E" w14:textId="77777777" w:rsidR="00875563" w:rsidRDefault="00875563" w:rsidP="00587B13">
      <w:pPr>
        <w:pStyle w:val="EndnoteText"/>
        <w:spacing w:line="276" w:lineRule="auto"/>
        <w:jc w:val="both"/>
      </w:pPr>
      <w:r>
        <w:rPr>
          <w:rStyle w:val="EndnoteReference"/>
        </w:rPr>
        <w:endnoteRef/>
      </w:r>
      <w:r>
        <w:t xml:space="preserve"> </w:t>
      </w:r>
      <w:r w:rsidRPr="008D366E">
        <w:t>Andrea Shalal</w:t>
      </w:r>
      <w:r>
        <w:t>, “</w:t>
      </w:r>
      <w:r w:rsidRPr="008D366E">
        <w:t>IMF cuts growth forecasts for most countries in wake of century-high US tariffs</w:t>
      </w:r>
      <w:r>
        <w:t xml:space="preserve">”, Reuters.  </w:t>
      </w:r>
    </w:p>
  </w:endnote>
  <w:endnote w:id="4">
    <w:p w14:paraId="0FDA6D4F" w14:textId="77777777" w:rsidR="00875563" w:rsidRDefault="00875563" w:rsidP="00587B13">
      <w:pPr>
        <w:pStyle w:val="EndnoteText"/>
        <w:spacing w:line="276" w:lineRule="auto"/>
        <w:jc w:val="both"/>
      </w:pPr>
      <w:r>
        <w:rPr>
          <w:rStyle w:val="EndnoteReference"/>
        </w:rPr>
        <w:endnoteRef/>
      </w:r>
      <w:r>
        <w:t xml:space="preserve"> </w:t>
      </w:r>
      <w:r w:rsidRPr="008D366E">
        <w:t>William Schomberg</w:t>
      </w:r>
      <w:r>
        <w:t>, “</w:t>
      </w:r>
      <w:r w:rsidRPr="008D366E">
        <w:t>IMF chops UK growth forecast as Trump tariffs hit global economy</w:t>
      </w:r>
      <w:r>
        <w:t xml:space="preserve">”, Reuters, accessed 18 May 2025, </w:t>
      </w:r>
      <w:hyperlink r:id="rId3" w:history="1">
        <w:r w:rsidRPr="001274C3">
          <w:rPr>
            <w:rStyle w:val="Hyperlink"/>
          </w:rPr>
          <w:t>https://www.reuters.com/sustainability/sustainable-finance-reporting/imf-chops-uk-growth-forecast-trump-tariffs-hit-global-economy-2025-04-22/</w:t>
        </w:r>
      </w:hyperlink>
      <w:r>
        <w:t xml:space="preserve">. </w:t>
      </w:r>
    </w:p>
  </w:endnote>
  <w:endnote w:id="5">
    <w:p w14:paraId="49A039F4" w14:textId="77777777" w:rsidR="00875563" w:rsidRDefault="00875563" w:rsidP="00587B13">
      <w:pPr>
        <w:pStyle w:val="EndnoteText"/>
        <w:spacing w:line="276" w:lineRule="auto"/>
        <w:jc w:val="both"/>
      </w:pPr>
      <w:r>
        <w:rPr>
          <w:rStyle w:val="EndnoteReference"/>
        </w:rPr>
        <w:endnoteRef/>
      </w:r>
      <w:r>
        <w:t xml:space="preserve"> </w:t>
      </w:r>
      <w:r w:rsidRPr="008D366E">
        <w:t>Andrea Shalal</w:t>
      </w:r>
      <w:r>
        <w:t>, “</w:t>
      </w:r>
      <w:r w:rsidRPr="008D366E">
        <w:t>IMF cuts growth forecasts for most countries in wake of century-high US tariffs</w:t>
      </w:r>
      <w:r>
        <w:t xml:space="preserve">”, Reuters.  </w:t>
      </w:r>
    </w:p>
  </w:endnote>
  <w:endnote w:id="6">
    <w:p w14:paraId="22DC1FB5" w14:textId="77777777" w:rsidR="00875563" w:rsidRDefault="00875563" w:rsidP="00587B13">
      <w:pPr>
        <w:pStyle w:val="EndnoteText"/>
        <w:spacing w:line="276" w:lineRule="auto"/>
        <w:jc w:val="both"/>
      </w:pPr>
      <w:r>
        <w:rPr>
          <w:rStyle w:val="EndnoteReference"/>
        </w:rPr>
        <w:endnoteRef/>
      </w:r>
      <w:r>
        <w:t xml:space="preserve"> </w:t>
      </w:r>
      <w:r w:rsidRPr="008D366E">
        <w:t>Sergi Basco</w:t>
      </w:r>
      <w:r>
        <w:t>, “</w:t>
      </w:r>
      <w:r w:rsidRPr="008D366E">
        <w:t>IMF World Economic Outlook: economic uncertainty is now higher than it ever was during COVID</w:t>
      </w:r>
      <w:r>
        <w:t xml:space="preserve">”, The Conversation, accessed 18 May 2025, </w:t>
      </w:r>
      <w:hyperlink r:id="rId4" w:history="1">
        <w:r w:rsidRPr="001274C3">
          <w:rPr>
            <w:rStyle w:val="Hyperlink"/>
          </w:rPr>
          <w:t>https://theconversation.com/imf-world-economic-outlook-economic-uncertainty-is-now-higher-than-it-ever-was-during-covid-255055</w:t>
        </w:r>
      </w:hyperlink>
      <w:r>
        <w:t xml:space="preserve">. </w:t>
      </w:r>
    </w:p>
  </w:endnote>
  <w:endnote w:id="7">
    <w:p w14:paraId="71B922F7" w14:textId="77777777" w:rsidR="00875563" w:rsidRDefault="00875563" w:rsidP="00587B13">
      <w:pPr>
        <w:pStyle w:val="EndnoteText"/>
        <w:spacing w:line="276" w:lineRule="auto"/>
        <w:jc w:val="both"/>
      </w:pPr>
      <w:r>
        <w:rPr>
          <w:rStyle w:val="EndnoteReference"/>
        </w:rPr>
        <w:endnoteRef/>
      </w:r>
      <w:r>
        <w:t xml:space="preserve"> </w:t>
      </w:r>
      <w:r w:rsidRPr="008D366E">
        <w:t>Reshma Kapadia</w:t>
      </w:r>
      <w:r>
        <w:t xml:space="preserve"> and </w:t>
      </w:r>
      <w:r w:rsidRPr="008D366E">
        <w:t xml:space="preserve">Karishma </w:t>
      </w:r>
      <w:proofErr w:type="spellStart"/>
      <w:r w:rsidRPr="008D366E">
        <w:t>Vanjani</w:t>
      </w:r>
      <w:proofErr w:type="spellEnd"/>
      <w:r>
        <w:t>, “</w:t>
      </w:r>
      <w:r w:rsidRPr="008D366E">
        <w:t>IMF Lowers Global Growth Outlook, Stresses Need for Fed Independence</w:t>
      </w:r>
      <w:r>
        <w:t xml:space="preserve">”, Barron’s, accessed 17 May 2025, </w:t>
      </w:r>
      <w:hyperlink r:id="rId5" w:history="1">
        <w:r w:rsidRPr="001274C3">
          <w:rPr>
            <w:rStyle w:val="Hyperlink"/>
          </w:rPr>
          <w:t>https://www.barrons.com/articles/imf-growth-outlook-financial-stability-fbe2548c</w:t>
        </w:r>
      </w:hyperlink>
      <w:r>
        <w:t>.</w:t>
      </w:r>
    </w:p>
  </w:endnote>
  <w:endnote w:id="8">
    <w:p w14:paraId="667F511E" w14:textId="77777777" w:rsidR="00875563" w:rsidRDefault="00875563" w:rsidP="00587B13">
      <w:pPr>
        <w:pStyle w:val="EndnoteText"/>
        <w:spacing w:line="276" w:lineRule="auto"/>
        <w:jc w:val="both"/>
      </w:pPr>
      <w:r>
        <w:rPr>
          <w:rStyle w:val="EndnoteReference"/>
        </w:rPr>
        <w:endnoteRef/>
      </w:r>
      <w:r>
        <w:t xml:space="preserve"> Ibid.</w:t>
      </w:r>
    </w:p>
  </w:endnote>
  <w:endnote w:id="9">
    <w:p w14:paraId="3D57E19C" w14:textId="77777777" w:rsidR="00875563" w:rsidRDefault="00875563" w:rsidP="00587B13">
      <w:pPr>
        <w:pStyle w:val="EndnoteText"/>
        <w:spacing w:line="276" w:lineRule="auto"/>
        <w:jc w:val="both"/>
      </w:pPr>
      <w:r>
        <w:rPr>
          <w:rStyle w:val="EndnoteReference"/>
        </w:rPr>
        <w:endnoteRef/>
      </w:r>
      <w:r>
        <w:t xml:space="preserve"> </w:t>
      </w:r>
      <w:r w:rsidRPr="008D366E">
        <w:t>Claire Jones and Stephanie Stacey</w:t>
      </w:r>
      <w:r>
        <w:t>, “</w:t>
      </w:r>
      <w:r w:rsidRPr="008D366E">
        <w:t>IMF chief cuts growth forecast over ‘off the charts’ trade uncertainty</w:t>
      </w:r>
      <w:r>
        <w:t xml:space="preserve">”, </w:t>
      </w:r>
      <w:r w:rsidRPr="008D366E">
        <w:rPr>
          <w:i/>
          <w:iCs/>
        </w:rPr>
        <w:t>The Financial Times</w:t>
      </w:r>
      <w:r>
        <w:t xml:space="preserve">, accessed 17 May 2025, </w:t>
      </w:r>
      <w:hyperlink r:id="rId6" w:history="1">
        <w:r w:rsidRPr="001274C3">
          <w:rPr>
            <w:rStyle w:val="Hyperlink"/>
          </w:rPr>
          <w:t>https://www.ft.com/content/6084da8c-73f2-4405-8b66-5aa4066c3db8</w:t>
        </w:r>
      </w:hyperlink>
      <w:r>
        <w:t xml:space="preserve">. </w:t>
      </w:r>
    </w:p>
  </w:endnote>
  <w:endnote w:id="10">
    <w:p w14:paraId="6F770538" w14:textId="77777777" w:rsidR="00875563" w:rsidRDefault="00875563" w:rsidP="00587B13">
      <w:pPr>
        <w:pStyle w:val="EndnoteText"/>
        <w:spacing w:line="276" w:lineRule="auto"/>
        <w:jc w:val="both"/>
      </w:pPr>
      <w:r>
        <w:rPr>
          <w:rStyle w:val="EndnoteReference"/>
        </w:rPr>
        <w:endnoteRef/>
      </w:r>
      <w:r>
        <w:t xml:space="preserve"> </w:t>
      </w:r>
      <w:r w:rsidRPr="008D366E">
        <w:t>Reshma Kapadia</w:t>
      </w:r>
      <w:r>
        <w:t xml:space="preserve"> and </w:t>
      </w:r>
      <w:r w:rsidRPr="008D366E">
        <w:t xml:space="preserve">Karishma </w:t>
      </w:r>
      <w:proofErr w:type="spellStart"/>
      <w:r w:rsidRPr="008D366E">
        <w:t>Vanjani</w:t>
      </w:r>
      <w:proofErr w:type="spellEnd"/>
      <w:r>
        <w:t>, “</w:t>
      </w:r>
      <w:r w:rsidRPr="008D366E">
        <w:t>IMF Lowers Global Growth Outlook, Stresses Need for Fed Independence</w:t>
      </w:r>
      <w:r>
        <w:t xml:space="preserve">”, Barron’s. </w:t>
      </w:r>
    </w:p>
  </w:endnote>
  <w:endnote w:id="11">
    <w:p w14:paraId="44103698" w14:textId="77777777" w:rsidR="00875563" w:rsidRDefault="00875563" w:rsidP="00587B13">
      <w:pPr>
        <w:pStyle w:val="EndnoteText"/>
        <w:spacing w:line="276" w:lineRule="auto"/>
        <w:jc w:val="both"/>
      </w:pPr>
      <w:r>
        <w:rPr>
          <w:rStyle w:val="EndnoteReference"/>
        </w:rPr>
        <w:endnoteRef/>
      </w:r>
      <w:r>
        <w:t xml:space="preserve"> Ibid. </w:t>
      </w:r>
    </w:p>
  </w:endnote>
  <w:endnote w:id="12">
    <w:p w14:paraId="3D0B4BCC" w14:textId="77777777" w:rsidR="00875563" w:rsidRDefault="00875563" w:rsidP="00587B13">
      <w:pPr>
        <w:pStyle w:val="EndnoteText"/>
        <w:spacing w:line="276" w:lineRule="auto"/>
        <w:jc w:val="both"/>
      </w:pPr>
      <w:r>
        <w:rPr>
          <w:rStyle w:val="EndnoteReference"/>
        </w:rPr>
        <w:endnoteRef/>
      </w:r>
      <w:r>
        <w:t xml:space="preserve"> </w:t>
      </w:r>
      <w:r w:rsidRPr="008D366E">
        <w:t>Nick Edser</w:t>
      </w:r>
      <w:r>
        <w:t>, “</w:t>
      </w:r>
      <w:r w:rsidRPr="008D366E">
        <w:t>Global growth forecast slashed by IMF over tariff impact</w:t>
      </w:r>
      <w:r>
        <w:t xml:space="preserve">”, BBC, accessed 18 May 2025, </w:t>
      </w:r>
      <w:hyperlink r:id="rId7" w:history="1">
        <w:r w:rsidRPr="001274C3">
          <w:rPr>
            <w:rStyle w:val="Hyperlink"/>
          </w:rPr>
          <w:t>https://www.bbc.co.uk/news/articles/czx415erwkwo</w:t>
        </w:r>
      </w:hyperlink>
      <w:r>
        <w:t xml:space="preserve">. </w:t>
      </w:r>
    </w:p>
  </w:endnote>
  <w:endnote w:id="13">
    <w:p w14:paraId="75679E22" w14:textId="77777777" w:rsidR="00875563" w:rsidRDefault="00875563" w:rsidP="00587B13">
      <w:pPr>
        <w:pStyle w:val="EndnoteText"/>
        <w:spacing w:line="276" w:lineRule="auto"/>
        <w:jc w:val="both"/>
      </w:pPr>
      <w:r>
        <w:rPr>
          <w:rStyle w:val="EndnoteReference"/>
        </w:rPr>
        <w:endnoteRef/>
      </w:r>
      <w:r>
        <w:t xml:space="preserve"> Ibid. </w:t>
      </w:r>
    </w:p>
  </w:endnote>
  <w:endnote w:id="14">
    <w:p w14:paraId="232A7411" w14:textId="77777777" w:rsidR="00875563" w:rsidRDefault="00875563" w:rsidP="00587B13">
      <w:pPr>
        <w:pStyle w:val="EndnoteText"/>
        <w:spacing w:line="276" w:lineRule="auto"/>
        <w:jc w:val="both"/>
      </w:pPr>
      <w:r>
        <w:rPr>
          <w:rStyle w:val="EndnoteReference"/>
        </w:rPr>
        <w:endnoteRef/>
      </w:r>
      <w:r>
        <w:t xml:space="preserve"> </w:t>
      </w:r>
      <w:r w:rsidRPr="008D366E">
        <w:t>Aengus Collins</w:t>
      </w:r>
      <w:r>
        <w:t>, “</w:t>
      </w:r>
      <w:r w:rsidRPr="008D366E">
        <w:t>A step back from the brink for the global economy, and other key economic news to know</w:t>
      </w:r>
      <w:r>
        <w:t xml:space="preserve">”, accessed 18 May 2025, </w:t>
      </w:r>
      <w:hyperlink r:id="rId8" w:history="1">
        <w:r w:rsidRPr="001274C3">
          <w:rPr>
            <w:rStyle w:val="Hyperlink"/>
          </w:rPr>
          <w:t>https://www.weforum.org/stories/2025/05/step-back-from-brink-for-global-economy-and-other-key-economic-news/</w:t>
        </w:r>
      </w:hyperlink>
      <w:r>
        <w:t xml:space="preserve">. </w:t>
      </w:r>
    </w:p>
  </w:endnote>
  <w:endnote w:id="15">
    <w:p w14:paraId="2EB37171" w14:textId="77777777" w:rsidR="00875563" w:rsidRDefault="00875563" w:rsidP="00587B13">
      <w:pPr>
        <w:pStyle w:val="EndnoteText"/>
        <w:spacing w:line="276" w:lineRule="auto"/>
        <w:jc w:val="both"/>
      </w:pPr>
      <w:r>
        <w:rPr>
          <w:rStyle w:val="EndnoteReference"/>
        </w:rPr>
        <w:endnoteRef/>
      </w:r>
      <w:r>
        <w:t xml:space="preserve"> </w:t>
      </w:r>
      <w:r w:rsidRPr="008D366E">
        <w:t xml:space="preserve">Alan </w:t>
      </w:r>
      <w:proofErr w:type="spellStart"/>
      <w:r w:rsidRPr="008D366E">
        <w:t>Rappeport</w:t>
      </w:r>
      <w:proofErr w:type="spellEnd"/>
      <w:r>
        <w:t>, “</w:t>
      </w:r>
      <w:r w:rsidRPr="008D366E">
        <w:t>Global Growth Expected to Sputter Amid Trade War Fallout Fears</w:t>
      </w:r>
      <w:r>
        <w:t xml:space="preserve">”, </w:t>
      </w:r>
      <w:r w:rsidRPr="008D366E">
        <w:rPr>
          <w:i/>
          <w:iCs/>
        </w:rPr>
        <w:t>The New York Times</w:t>
      </w:r>
      <w:r>
        <w:t xml:space="preserve">, accessed 18 May 2025, </w:t>
      </w:r>
      <w:hyperlink r:id="rId9" w:history="1">
        <w:r w:rsidRPr="001274C3">
          <w:rPr>
            <w:rStyle w:val="Hyperlink"/>
          </w:rPr>
          <w:t>https://www.nytimes.com/2025/04/22/us/politics/imf-world-economic-outlook.html</w:t>
        </w:r>
      </w:hyperlink>
      <w:r>
        <w:t xml:space="preserve">. </w:t>
      </w:r>
    </w:p>
  </w:endnote>
  <w:endnote w:id="16">
    <w:p w14:paraId="3513B78B" w14:textId="77777777" w:rsidR="00875563" w:rsidRDefault="00875563" w:rsidP="00587B13">
      <w:pPr>
        <w:pStyle w:val="EndnoteText"/>
        <w:spacing w:line="276" w:lineRule="auto"/>
        <w:jc w:val="both"/>
      </w:pPr>
      <w:r>
        <w:rPr>
          <w:rStyle w:val="EndnoteReference"/>
        </w:rPr>
        <w:endnoteRef/>
      </w:r>
      <w:r>
        <w:t xml:space="preserve"> </w:t>
      </w:r>
      <w:r w:rsidRPr="008D366E">
        <w:t>Reshma Kapadia</w:t>
      </w:r>
      <w:r>
        <w:t xml:space="preserve"> and </w:t>
      </w:r>
      <w:r w:rsidRPr="008D366E">
        <w:t xml:space="preserve">Karishma </w:t>
      </w:r>
      <w:proofErr w:type="spellStart"/>
      <w:r w:rsidRPr="008D366E">
        <w:t>Vanjani</w:t>
      </w:r>
      <w:proofErr w:type="spellEnd"/>
      <w:r>
        <w:t>, “</w:t>
      </w:r>
      <w:r w:rsidRPr="008D366E">
        <w:t>IMF Lowers Global Growth Outlook, Stresses Need for Fed Independence</w:t>
      </w:r>
      <w:r>
        <w:t>”, Barron’s.</w:t>
      </w:r>
    </w:p>
  </w:endnote>
  <w:endnote w:id="17">
    <w:p w14:paraId="507531E0" w14:textId="77777777" w:rsidR="00875563" w:rsidRDefault="00875563" w:rsidP="00587B13">
      <w:pPr>
        <w:pStyle w:val="EndnoteText"/>
        <w:spacing w:line="276" w:lineRule="auto"/>
        <w:jc w:val="both"/>
      </w:pPr>
      <w:r>
        <w:rPr>
          <w:rStyle w:val="EndnoteReference"/>
        </w:rPr>
        <w:endnoteRef/>
      </w:r>
      <w:r>
        <w:t xml:space="preserve">  Carlo Martuscelli and Johanna </w:t>
      </w:r>
      <w:proofErr w:type="spellStart"/>
      <w:r>
        <w:t>Treeck</w:t>
      </w:r>
      <w:proofErr w:type="spellEnd"/>
      <w:r>
        <w:t>, “</w:t>
      </w:r>
      <w:r w:rsidRPr="008D366E">
        <w:t>IMF: Trump tariffs are crashing world economy, with US worst off</w:t>
      </w:r>
      <w:r>
        <w:t xml:space="preserve">”, Politico, accessed 18 May 2025, </w:t>
      </w:r>
      <w:hyperlink r:id="rId10" w:history="1">
        <w:r w:rsidRPr="001274C3">
          <w:rPr>
            <w:rStyle w:val="Hyperlink"/>
          </w:rPr>
          <w:t>https://www.politico.eu/article/international-monetary-fund-slash-world-growth-forecast-trade-war/</w:t>
        </w:r>
      </w:hyperlink>
      <w:r>
        <w:t>.</w:t>
      </w:r>
    </w:p>
  </w:endnote>
  <w:endnote w:id="18">
    <w:p w14:paraId="3B074B2C" w14:textId="77777777" w:rsidR="00875563" w:rsidRDefault="00875563" w:rsidP="00587B13">
      <w:pPr>
        <w:pStyle w:val="EndnoteText"/>
        <w:spacing w:line="276" w:lineRule="auto"/>
        <w:jc w:val="both"/>
      </w:pPr>
      <w:r>
        <w:rPr>
          <w:rStyle w:val="EndnoteReference"/>
        </w:rPr>
        <w:endnoteRef/>
      </w:r>
      <w:r>
        <w:t xml:space="preserve"> </w:t>
      </w:r>
      <w:r w:rsidRPr="008D366E">
        <w:t>Reshma Kapadia</w:t>
      </w:r>
      <w:r>
        <w:t xml:space="preserve"> and </w:t>
      </w:r>
      <w:r w:rsidRPr="008D366E">
        <w:t xml:space="preserve">Karishma </w:t>
      </w:r>
      <w:proofErr w:type="spellStart"/>
      <w:r w:rsidRPr="008D366E">
        <w:t>Vanjani</w:t>
      </w:r>
      <w:proofErr w:type="spellEnd"/>
      <w:r>
        <w:t>, “</w:t>
      </w:r>
      <w:r w:rsidRPr="008D366E">
        <w:t>IMF Lowers Global Growth Outlook, Stresses Need for Fed Independence</w:t>
      </w:r>
      <w:r>
        <w:t>”, Barron’s.</w:t>
      </w:r>
    </w:p>
  </w:endnote>
  <w:endnote w:id="19">
    <w:p w14:paraId="21DBA6EF" w14:textId="77777777" w:rsidR="00875563" w:rsidRDefault="00875563" w:rsidP="00587B13">
      <w:pPr>
        <w:pStyle w:val="EndnoteText"/>
        <w:spacing w:line="276" w:lineRule="auto"/>
        <w:jc w:val="both"/>
      </w:pPr>
      <w:r>
        <w:rPr>
          <w:rStyle w:val="EndnoteReference"/>
        </w:rPr>
        <w:endnoteRef/>
      </w:r>
      <w:r>
        <w:t xml:space="preserve"> Carlo Martuscelli and Johanna </w:t>
      </w:r>
      <w:proofErr w:type="spellStart"/>
      <w:r>
        <w:t>Treeck</w:t>
      </w:r>
      <w:proofErr w:type="spellEnd"/>
      <w:r>
        <w:t>, “</w:t>
      </w:r>
      <w:r w:rsidRPr="008D366E">
        <w:t>IMF: Trump tariffs are crashing world economy, with US worst off</w:t>
      </w:r>
      <w:r>
        <w:t xml:space="preserve">”, Politico.  </w:t>
      </w:r>
    </w:p>
  </w:endnote>
  <w:endnote w:id="20">
    <w:p w14:paraId="029FF166" w14:textId="77777777" w:rsidR="00875563" w:rsidRDefault="00875563" w:rsidP="00587B13">
      <w:pPr>
        <w:pStyle w:val="EndnoteText"/>
        <w:spacing w:line="276" w:lineRule="auto"/>
        <w:jc w:val="both"/>
      </w:pPr>
      <w:r>
        <w:rPr>
          <w:rStyle w:val="EndnoteReference"/>
        </w:rPr>
        <w:endnoteRef/>
      </w:r>
      <w:r>
        <w:t xml:space="preserve"> </w:t>
      </w:r>
      <w:r w:rsidRPr="008D366E">
        <w:t>Sergi Basco</w:t>
      </w:r>
      <w:r>
        <w:t>, “</w:t>
      </w:r>
      <w:r w:rsidRPr="008D366E">
        <w:t>IMF World Economic Outlook: economic uncertainty is now higher than it ever was during COVID</w:t>
      </w:r>
      <w:r>
        <w:t xml:space="preserve">”, The Conversation. </w:t>
      </w:r>
    </w:p>
  </w:endnote>
  <w:endnote w:id="21">
    <w:p w14:paraId="4CFC8FF9" w14:textId="77777777" w:rsidR="00875563" w:rsidRDefault="00875563" w:rsidP="00587B13">
      <w:pPr>
        <w:pStyle w:val="EndnoteText"/>
        <w:spacing w:line="276" w:lineRule="auto"/>
        <w:jc w:val="both"/>
      </w:pPr>
      <w:r>
        <w:rPr>
          <w:rStyle w:val="EndnoteReference"/>
        </w:rPr>
        <w:endnoteRef/>
      </w:r>
      <w:r>
        <w:t xml:space="preserve"> Ibid. </w:t>
      </w:r>
    </w:p>
  </w:endnote>
  <w:endnote w:id="22">
    <w:p w14:paraId="102C2CF6" w14:textId="77777777" w:rsidR="00875563" w:rsidRDefault="00875563" w:rsidP="00587B13">
      <w:pPr>
        <w:pStyle w:val="EndnoteText"/>
        <w:spacing w:line="276" w:lineRule="auto"/>
        <w:jc w:val="both"/>
      </w:pPr>
      <w:r>
        <w:rPr>
          <w:rStyle w:val="EndnoteReference"/>
        </w:rPr>
        <w:endnoteRef/>
      </w:r>
      <w:r>
        <w:t xml:space="preserve"> </w:t>
      </w:r>
      <w:r w:rsidRPr="008D366E">
        <w:t>Reshma Kapadia</w:t>
      </w:r>
      <w:r>
        <w:t xml:space="preserve"> and </w:t>
      </w:r>
      <w:r w:rsidRPr="008D366E">
        <w:t xml:space="preserve">Karishma </w:t>
      </w:r>
      <w:proofErr w:type="spellStart"/>
      <w:r w:rsidRPr="008D366E">
        <w:t>Vanjani</w:t>
      </w:r>
      <w:proofErr w:type="spellEnd"/>
      <w:r>
        <w:t>, “</w:t>
      </w:r>
      <w:r w:rsidRPr="008D366E">
        <w:t>IMF Lowers Global Growth Outlook, Stresses Need for Fed Independence</w:t>
      </w:r>
      <w:r>
        <w:t>”, Barron’s.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T Serif">
    <w:charset w:val="00"/>
    <w:family w:val="roman"/>
    <w:pitch w:val="variable"/>
    <w:sig w:usb0="A00002E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 w:name="Avenir">
    <w:altName w:val="Calibri"/>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BE619" w14:textId="77777777" w:rsidR="00924C03" w:rsidRPr="00BD279A" w:rsidRDefault="00000000" w:rsidP="00BD279A">
    <w:pPr>
      <w:rPr>
        <w:rFonts w:cstheme="minorHAnsi"/>
        <w:b/>
        <w:sz w:val="18"/>
        <w:szCs w:val="18"/>
      </w:rPr>
    </w:pPr>
    <w:r>
      <w:rPr>
        <w:i/>
        <w:noProof/>
        <w:sz w:val="16"/>
        <w:szCs w:val="16"/>
      </w:rPr>
      <mc:AlternateContent>
        <mc:Choice Requires="wps">
          <w:drawing>
            <wp:anchor distT="0" distB="0" distL="114300" distR="114300" simplePos="0" relativeHeight="251660288" behindDoc="0" locked="0" layoutInCell="1" allowOverlap="1" wp14:anchorId="47A8D9EC" wp14:editId="33BD1424">
              <wp:simplePos x="0" y="0"/>
              <wp:positionH relativeFrom="margin">
                <wp:posOffset>3708400</wp:posOffset>
              </wp:positionH>
              <wp:positionV relativeFrom="paragraph">
                <wp:posOffset>74295</wp:posOffset>
              </wp:positionV>
              <wp:extent cx="2000250"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2000250" cy="0"/>
                      </a:xfrm>
                      <a:prstGeom prst="line">
                        <a:avLst/>
                      </a:prstGeom>
                      <a:ln w="12700">
                        <a:solidFill>
                          <a:srgbClr val="0070C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34069ECE" id="Straight Connector 4"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2pt,5.85pt" to="44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" strokecolor="#0070c0" strokeweight="1pt">
              <v:stroke joinstyle="miter"/>
              <w10:wrap anchorx="margin"/>
            </v:line>
          </w:pict>
        </mc:Fallback>
      </mc:AlternateContent>
    </w:r>
    <w:r>
      <w:rPr>
        <w:i/>
        <w:noProof/>
        <w:sz w:val="16"/>
        <w:szCs w:val="16"/>
      </w:rPr>
      <mc:AlternateContent>
        <mc:Choice Requires="wps">
          <w:drawing>
            <wp:anchor distT="0" distB="0" distL="114300" distR="114300" simplePos="0" relativeHeight="251659264" behindDoc="0" locked="0" layoutInCell="1" allowOverlap="1" wp14:anchorId="77BA8802" wp14:editId="4A00BA40">
              <wp:simplePos x="0" y="0"/>
              <wp:positionH relativeFrom="column">
                <wp:posOffset>6350</wp:posOffset>
              </wp:positionH>
              <wp:positionV relativeFrom="paragraph">
                <wp:posOffset>67945</wp:posOffset>
              </wp:positionV>
              <wp:extent cx="1784350"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1784350" cy="0"/>
                      </a:xfrm>
                      <a:prstGeom prst="line">
                        <a:avLst/>
                      </a:prstGeom>
                      <a:ln w="12700">
                        <a:solidFill>
                          <a:srgbClr val="0070C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4E47C25F"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5.35pt" to="14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" strokecolor="#0070c0" strokeweight="1pt">
              <v:stroke joinstyle="miter"/>
            </v:line>
          </w:pict>
        </mc:Fallback>
      </mc:AlternateContent>
    </w:r>
    <w:r>
      <w:rPr>
        <w:sz w:val="18"/>
        <w:szCs w:val="18"/>
      </w:rPr>
      <w:t xml:space="preserve">                                                                                      </w:t>
    </w:r>
    <w:r w:rsidRPr="004E3786">
      <w:rPr>
        <w:b/>
        <w:color w:val="0070C0"/>
        <w:sz w:val="18"/>
        <w:szCs w:val="18"/>
      </w:rPr>
      <w:t>www.rosa-roubini.com</w:t>
    </w:r>
  </w:p>
  <w:p w14:paraId="377704E8" w14:textId="77777777" w:rsidR="00924C03" w:rsidRPr="00CF2EEA" w:rsidRDefault="00000000" w:rsidP="00CF2EEA">
    <w:pPr>
      <w:pStyle w:val="Footer"/>
      <w:spacing w:line="264" w:lineRule="auto"/>
      <w:jc w:val="both"/>
      <w:rPr>
        <w:i/>
        <w:sz w:val="16"/>
        <w:szCs w:val="16"/>
      </w:rPr>
    </w:pPr>
    <w:r w:rsidRPr="00CF2EEA">
      <w:rPr>
        <w:i/>
        <w:sz w:val="16"/>
        <w:szCs w:val="16"/>
      </w:rPr>
      <w:t xml:space="preserve">© </w:t>
    </w:r>
    <w:proofErr w:type="spellStart"/>
    <w:r w:rsidRPr="00CF2EEA">
      <w:rPr>
        <w:i/>
        <w:sz w:val="16"/>
        <w:szCs w:val="16"/>
      </w:rPr>
      <w:t>Rosa&amp;Roubini</w:t>
    </w:r>
    <w:proofErr w:type="spellEnd"/>
    <w:r w:rsidRPr="00CF2EEA">
      <w:rPr>
        <w:i/>
        <w:sz w:val="16"/>
        <w:szCs w:val="16"/>
      </w:rPr>
      <w:t xml:space="preserve"> Associates 20</w:t>
    </w:r>
    <w:r>
      <w:rPr>
        <w:i/>
        <w:sz w:val="16"/>
        <w:szCs w:val="16"/>
      </w:rPr>
      <w:t>25</w:t>
    </w:r>
    <w:r w:rsidRPr="00CF2EEA">
      <w:rPr>
        <w:i/>
        <w:sz w:val="16"/>
        <w:szCs w:val="16"/>
      </w:rPr>
      <w:t xml:space="preserve"> - All Rights Reserved. No duplication, reproduction, transmission or redistribution of this document and its content, either in whole or in part, is by any means permitted without prior written consent of </w:t>
    </w:r>
    <w:proofErr w:type="spellStart"/>
    <w:r w:rsidRPr="00CF2EEA">
      <w:rPr>
        <w:i/>
        <w:sz w:val="16"/>
        <w:szCs w:val="16"/>
      </w:rPr>
      <w:t>Rosa&amp;Roubini</w:t>
    </w:r>
    <w:proofErr w:type="spellEnd"/>
    <w:r w:rsidRPr="00CF2EEA">
      <w:rPr>
        <w:i/>
        <w:sz w:val="16"/>
        <w:szCs w:val="16"/>
      </w:rPr>
      <w:t xml:space="preserve"> Associates Limited.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E9E7E6" w14:textId="77777777" w:rsidR="00A940D5" w:rsidRDefault="00A940D5" w:rsidP="00875563">
      <w:pPr>
        <w:spacing w:after="0" w:line="240" w:lineRule="auto"/>
      </w:pPr>
      <w:r>
        <w:separator/>
      </w:r>
    </w:p>
  </w:footnote>
  <w:footnote w:type="continuationSeparator" w:id="0">
    <w:p w14:paraId="6B63484F" w14:textId="77777777" w:rsidR="00A940D5" w:rsidRDefault="00A940D5" w:rsidP="00875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D7ED8" w14:textId="77777777" w:rsidR="00924C03" w:rsidRDefault="00000000" w:rsidP="004D0485">
    <w:pPr>
      <w:pStyle w:val="Header"/>
      <w:jc w:val="center"/>
    </w:pPr>
    <w:r>
      <w:rPr>
        <w:i/>
        <w:noProof/>
        <w:sz w:val="16"/>
        <w:szCs w:val="16"/>
      </w:rPr>
      <mc:AlternateContent>
        <mc:Choice Requires="wps">
          <w:drawing>
            <wp:anchor distT="0" distB="0" distL="114300" distR="114300" simplePos="0" relativeHeight="251661312" behindDoc="0" locked="0" layoutInCell="1" allowOverlap="1" wp14:anchorId="6F528DCF" wp14:editId="4D17223A">
              <wp:simplePos x="0" y="0"/>
              <wp:positionH relativeFrom="margin">
                <wp:posOffset>1200785</wp:posOffset>
              </wp:positionH>
              <wp:positionV relativeFrom="paragraph">
                <wp:posOffset>164465</wp:posOffset>
              </wp:positionV>
              <wp:extent cx="4044950"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4044950" cy="0"/>
                      </a:xfrm>
                      <a:prstGeom prst="line">
                        <a:avLst/>
                      </a:prstGeom>
                      <a:ln w="12700">
                        <a:solidFill>
                          <a:srgbClr val="0070C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34ADC577" id="Straight Connector 6"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4.55pt,12.95pt" to="413.0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" strokecolor="#0070c0" strokeweight="1pt">
              <v:stroke joinstyle="miter"/>
              <w10:wrap anchorx="margin"/>
            </v:line>
          </w:pict>
        </mc:Fallback>
      </mc:AlternateContent>
    </w:r>
    <w:sdt>
      <w:sdtPr>
        <w:id w:val="1724017961"/>
        <w:docPartObj>
          <w:docPartGallery w:val="Page Numbers (Margins)"/>
          <w:docPartUnique/>
        </w:docPartObj>
      </w:sdtPr>
      <w:sdtContent>
        <w:r>
          <w:rPr>
            <w:noProof/>
          </w:rPr>
          <mc:AlternateContent>
            <mc:Choice Requires="wps">
              <w:drawing>
                <wp:anchor distT="0" distB="0" distL="114300" distR="114300" simplePos="0" relativeHeight="251662336" behindDoc="0" locked="0" layoutInCell="0" allowOverlap="1" wp14:anchorId="0B88F7CB" wp14:editId="2096EFBA">
                  <wp:simplePos x="0" y="0"/>
                  <wp:positionH relativeFrom="rightMargin">
                    <wp:align>right</wp:align>
                  </wp:positionH>
                  <mc:AlternateContent>
                    <mc:Choice Requires="wp14">
                      <wp:positionV relativeFrom="margin">
                        <wp14:pctPosVOffset>10000</wp14:pctPosVOffset>
                      </wp:positionV>
                    </mc:Choice>
                    <mc:Fallback>
                      <wp:positionV relativeFrom="page">
                        <wp:posOffset>1800225</wp:posOffset>
                      </wp:positionV>
                    </mc:Fallback>
                  </mc:AlternateContent>
                  <wp:extent cx="819150" cy="433705"/>
                  <wp:effectExtent l="0" t="0" r="1905" b="444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783F8" w14:textId="77777777" w:rsidR="00924C03" w:rsidRDefault="00000000">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2</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0B88F7CB" id="Rectangle 8" o:spid="_x0000_s1026" style="position:absolute;left:0;text-align:left;margin-left:13.3pt;margin-top:0;width:64.5pt;height:34.15pt;z-index:251662336;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" o:allowincell="f" stroked="f">
                  <v:textbox style="mso-fit-shape-to-text:t" inset="0,,0">
                    <w:txbxContent>
                      <w:p w14:paraId="6C5783F8" w14:textId="77777777" w:rsidR="00924C03" w:rsidRDefault="00000000">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sdtContent>
    </w:sdt>
    <w:r>
      <w:rPr>
        <w:noProof/>
      </w:rPr>
      <w:drawing>
        <wp:inline distT="0" distB="0" distL="0" distR="0" wp14:anchorId="59778943" wp14:editId="59D9AF3F">
          <wp:extent cx="999786" cy="320675"/>
          <wp:effectExtent l="0" t="0" r="0" b="3175"/>
          <wp:docPr id="163200008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3442" name="Picture 1" descr="A close 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3960" cy="328429"/>
                  </a:xfrm>
                  <a:prstGeom prst="rect">
                    <a:avLst/>
                  </a:prstGeom>
                  <a:noFill/>
                  <a:ln>
                    <a:noFill/>
                  </a:ln>
                </pic:spPr>
              </pic:pic>
            </a:graphicData>
          </a:graphic>
        </wp:inline>
      </w:drawing>
    </w:r>
    <w:r>
      <w:t xml:space="preserve">                                                                                                                                        </w:t>
    </w:r>
    <w:r>
      <w:rPr>
        <w:noProof/>
      </w:rPr>
      <w:drawing>
        <wp:inline distT="0" distB="0" distL="0" distR="0" wp14:anchorId="0F24F0E9" wp14:editId="173AD923">
          <wp:extent cx="352223" cy="300990"/>
          <wp:effectExtent l="0" t="0" r="0" b="3810"/>
          <wp:docPr id="1201216282" name="Picture 2" descr="A logo with a gradient col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16282" name="Picture 2" descr="A logo with a gradient color&#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2223" cy="3009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FD4C33"/>
    <w:multiLevelType w:val="hybridMultilevel"/>
    <w:tmpl w:val="F1642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5C1A5D"/>
    <w:multiLevelType w:val="multilevel"/>
    <w:tmpl w:val="3C889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18389234">
    <w:abstractNumId w:val="1"/>
  </w:num>
  <w:num w:numId="2" w16cid:durableId="831289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277"/>
    <w:rsid w:val="00107451"/>
    <w:rsid w:val="001413FE"/>
    <w:rsid w:val="0015379D"/>
    <w:rsid w:val="00277297"/>
    <w:rsid w:val="002B0F80"/>
    <w:rsid w:val="002D2D86"/>
    <w:rsid w:val="002F4276"/>
    <w:rsid w:val="003333B7"/>
    <w:rsid w:val="00335F9D"/>
    <w:rsid w:val="003424ED"/>
    <w:rsid w:val="00352FE2"/>
    <w:rsid w:val="003B1F10"/>
    <w:rsid w:val="003D2277"/>
    <w:rsid w:val="00405723"/>
    <w:rsid w:val="00420474"/>
    <w:rsid w:val="004B643F"/>
    <w:rsid w:val="004F2870"/>
    <w:rsid w:val="00557650"/>
    <w:rsid w:val="00583641"/>
    <w:rsid w:val="00587B13"/>
    <w:rsid w:val="006D098F"/>
    <w:rsid w:val="00765DB7"/>
    <w:rsid w:val="0078789D"/>
    <w:rsid w:val="00804ABB"/>
    <w:rsid w:val="00865C37"/>
    <w:rsid w:val="00875563"/>
    <w:rsid w:val="00884253"/>
    <w:rsid w:val="008F58CA"/>
    <w:rsid w:val="00924C03"/>
    <w:rsid w:val="009A33DC"/>
    <w:rsid w:val="009B6777"/>
    <w:rsid w:val="009E45F9"/>
    <w:rsid w:val="00A07610"/>
    <w:rsid w:val="00A569C3"/>
    <w:rsid w:val="00A62206"/>
    <w:rsid w:val="00A92CDA"/>
    <w:rsid w:val="00A940D5"/>
    <w:rsid w:val="00AB6E89"/>
    <w:rsid w:val="00AB7AD2"/>
    <w:rsid w:val="00B0750D"/>
    <w:rsid w:val="00B81FBB"/>
    <w:rsid w:val="00BB3611"/>
    <w:rsid w:val="00C57DBA"/>
    <w:rsid w:val="00C61907"/>
    <w:rsid w:val="00C91AFB"/>
    <w:rsid w:val="00CB1F40"/>
    <w:rsid w:val="00D92C11"/>
    <w:rsid w:val="00DC4467"/>
    <w:rsid w:val="00DD3AC1"/>
    <w:rsid w:val="00E96D9D"/>
    <w:rsid w:val="00F0524F"/>
    <w:rsid w:val="00F162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00C0E"/>
  <w15:chartTrackingRefBased/>
  <w15:docId w15:val="{C438F164-8EBB-694F-ABBC-BDF29DFDF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27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D2277"/>
    <w:rPr>
      <w:rFonts w:eastAsiaTheme="minorEastAsia"/>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croGeo">
    <w:name w:val="MacroGeo"/>
    <w:basedOn w:val="Normal"/>
    <w:link w:val="MacroGeoChar"/>
    <w:qFormat/>
    <w:rsid w:val="003D2277"/>
    <w:rPr>
      <w:rFonts w:ascii="PT Serif" w:hAnsi="PT Serif"/>
      <w:b/>
      <w:color w:val="1AB1AD"/>
    </w:rPr>
  </w:style>
  <w:style w:type="character" w:customStyle="1" w:styleId="MacroGeoChar">
    <w:name w:val="MacroGeo Char"/>
    <w:basedOn w:val="DefaultParagraphFont"/>
    <w:link w:val="MacroGeo"/>
    <w:rsid w:val="003D2277"/>
    <w:rPr>
      <w:rFonts w:ascii="PT Serif" w:hAnsi="PT Serif"/>
      <w:b/>
      <w:color w:val="1AB1AD"/>
      <w:sz w:val="22"/>
      <w:szCs w:val="22"/>
    </w:rPr>
  </w:style>
  <w:style w:type="character" w:styleId="Hyperlink">
    <w:name w:val="Hyperlink"/>
    <w:basedOn w:val="DefaultParagraphFont"/>
    <w:uiPriority w:val="99"/>
    <w:unhideWhenUsed/>
    <w:rsid w:val="003D2277"/>
    <w:rPr>
      <w:color w:val="0563C1" w:themeColor="hyperlink"/>
      <w:u w:val="single"/>
    </w:rPr>
  </w:style>
  <w:style w:type="paragraph" w:styleId="Header">
    <w:name w:val="header"/>
    <w:basedOn w:val="Normal"/>
    <w:link w:val="HeaderChar"/>
    <w:uiPriority w:val="99"/>
    <w:unhideWhenUsed/>
    <w:rsid w:val="003D22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2277"/>
    <w:rPr>
      <w:sz w:val="22"/>
      <w:szCs w:val="22"/>
    </w:rPr>
  </w:style>
  <w:style w:type="paragraph" w:styleId="Footer">
    <w:name w:val="footer"/>
    <w:basedOn w:val="Normal"/>
    <w:link w:val="FooterChar"/>
    <w:uiPriority w:val="99"/>
    <w:unhideWhenUsed/>
    <w:rsid w:val="003D22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2277"/>
    <w:rPr>
      <w:sz w:val="22"/>
      <w:szCs w:val="22"/>
    </w:rPr>
  </w:style>
  <w:style w:type="paragraph" w:styleId="NormalWeb">
    <w:name w:val="Normal (Web)"/>
    <w:basedOn w:val="Normal"/>
    <w:uiPriority w:val="99"/>
    <w:unhideWhenUsed/>
    <w:rsid w:val="003D22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E45F9"/>
    <w:pPr>
      <w:spacing w:after="0" w:line="240" w:lineRule="auto"/>
      <w:ind w:left="720"/>
      <w:contextualSpacing/>
    </w:pPr>
    <w:rPr>
      <w:rFonts w:ascii="Calibri" w:eastAsia="Calibri" w:hAnsi="Calibri" w:cs="Calibri"/>
      <w:sz w:val="24"/>
      <w:szCs w:val="24"/>
      <w:lang w:eastAsia="en-GB"/>
    </w:rPr>
  </w:style>
  <w:style w:type="paragraph" w:styleId="FootnoteText">
    <w:name w:val="footnote text"/>
    <w:basedOn w:val="Normal"/>
    <w:link w:val="FootnoteTextChar"/>
    <w:uiPriority w:val="99"/>
    <w:semiHidden/>
    <w:unhideWhenUsed/>
    <w:rsid w:val="00875563"/>
    <w:pPr>
      <w:spacing w:after="0" w:line="240" w:lineRule="auto"/>
    </w:pPr>
    <w:rPr>
      <w:rFonts w:ascii="Calibri" w:eastAsia="Calibri" w:hAnsi="Calibri" w:cs="Calibri"/>
      <w:sz w:val="20"/>
      <w:szCs w:val="20"/>
      <w:lang w:eastAsia="en-GB"/>
    </w:rPr>
  </w:style>
  <w:style w:type="character" w:customStyle="1" w:styleId="FootnoteTextChar">
    <w:name w:val="Footnote Text Char"/>
    <w:basedOn w:val="DefaultParagraphFont"/>
    <w:link w:val="FootnoteText"/>
    <w:uiPriority w:val="99"/>
    <w:semiHidden/>
    <w:rsid w:val="00875563"/>
    <w:rPr>
      <w:rFonts w:ascii="Calibri" w:eastAsia="Calibri" w:hAnsi="Calibri" w:cs="Calibri"/>
      <w:sz w:val="20"/>
      <w:szCs w:val="20"/>
      <w:lang w:eastAsia="en-GB"/>
    </w:rPr>
  </w:style>
  <w:style w:type="character" w:styleId="FootnoteReference">
    <w:name w:val="footnote reference"/>
    <w:basedOn w:val="DefaultParagraphFont"/>
    <w:uiPriority w:val="99"/>
    <w:semiHidden/>
    <w:unhideWhenUsed/>
    <w:rsid w:val="00875563"/>
    <w:rPr>
      <w:vertAlign w:val="superscript"/>
    </w:rPr>
  </w:style>
  <w:style w:type="paragraph" w:styleId="EndnoteText">
    <w:name w:val="endnote text"/>
    <w:basedOn w:val="Normal"/>
    <w:link w:val="EndnoteTextChar"/>
    <w:uiPriority w:val="99"/>
    <w:semiHidden/>
    <w:unhideWhenUsed/>
    <w:rsid w:val="0087556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75563"/>
    <w:rPr>
      <w:sz w:val="20"/>
      <w:szCs w:val="20"/>
    </w:rPr>
  </w:style>
  <w:style w:type="character" w:styleId="EndnoteReference">
    <w:name w:val="endnote reference"/>
    <w:basedOn w:val="DefaultParagraphFont"/>
    <w:uiPriority w:val="99"/>
    <w:semiHidden/>
    <w:unhideWhenUsed/>
    <w:rsid w:val="00875563"/>
    <w:rPr>
      <w:vertAlign w:val="superscript"/>
    </w:rPr>
  </w:style>
  <w:style w:type="character" w:styleId="UnresolvedMention">
    <w:name w:val="Unresolved Mention"/>
    <w:basedOn w:val="DefaultParagraphFont"/>
    <w:uiPriority w:val="99"/>
    <w:semiHidden/>
    <w:unhideWhenUsed/>
    <w:rsid w:val="00CB1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mf.org/en/Blogs/Articles/2025/04/22/the-global-economy-enters-a-new-er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endnotes.xml.rels><?xml version="1.0" encoding="UTF-8" standalone="yes"?>
<Relationships xmlns="http://schemas.openxmlformats.org/package/2006/relationships"><Relationship Id="rId8" Type="http://schemas.openxmlformats.org/officeDocument/2006/relationships/hyperlink" Target="https://www.weforum.org/stories/2025/05/step-back-from-brink-for-global-economy-and-other-key-economic-news/" TargetMode="External"/><Relationship Id="rId3" Type="http://schemas.openxmlformats.org/officeDocument/2006/relationships/hyperlink" Target="https://www.reuters.com/sustainability/sustainable-finance-reporting/imf-chops-uk-growth-forecast-trump-tariffs-hit-global-economy-2025-04-22/" TargetMode="External"/><Relationship Id="rId7" Type="http://schemas.openxmlformats.org/officeDocument/2006/relationships/hyperlink" Target="https://www.bbc.co.uk/news/articles/czx415erwkwo" TargetMode="External"/><Relationship Id="rId2" Type="http://schemas.openxmlformats.org/officeDocument/2006/relationships/hyperlink" Target="https://www.bbc.co.uk/news/live/c4g2l654dket" TargetMode="External"/><Relationship Id="rId1" Type="http://schemas.openxmlformats.org/officeDocument/2006/relationships/hyperlink" Target="https://www.reuters.com/business/imf-cuts-growth-forecasts-most-countries-wake-century-high-us-tariffs-2025-04-22/" TargetMode="External"/><Relationship Id="rId6" Type="http://schemas.openxmlformats.org/officeDocument/2006/relationships/hyperlink" Target="https://www.ft.com/content/6084da8c-73f2-4405-8b66-5aa4066c3db8" TargetMode="External"/><Relationship Id="rId5" Type="http://schemas.openxmlformats.org/officeDocument/2006/relationships/hyperlink" Target="https://www.barrons.com/articles/imf-growth-outlook-financial-stability-fbe2548c" TargetMode="External"/><Relationship Id="rId10" Type="http://schemas.openxmlformats.org/officeDocument/2006/relationships/hyperlink" Target="https://www.politico.eu/article/international-monetary-fund-slash-world-growth-forecast-trade-war/" TargetMode="External"/><Relationship Id="rId4" Type="http://schemas.openxmlformats.org/officeDocument/2006/relationships/hyperlink" Target="https://theconversation.com/imf-world-economic-outlook-economic-uncertainty-is-now-higher-than-it-ever-was-during-covid-255055" TargetMode="External"/><Relationship Id="rId9" Type="http://schemas.openxmlformats.org/officeDocument/2006/relationships/hyperlink" Target="https://www.nytimes.com/2025/04/22/us/politics/imf-world-economic-outlook.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77B58-07C0-2F44-BA58-0DCBD4789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2322</Words>
  <Characters>13241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Agostini,M (ug)</dc:creator>
  <cp:keywords/>
  <dc:description/>
  <cp:lastModifiedBy>Brunello Rosa</cp:lastModifiedBy>
  <cp:revision>7</cp:revision>
  <dcterms:created xsi:type="dcterms:W3CDTF">2025-05-19T23:35:00Z</dcterms:created>
  <dcterms:modified xsi:type="dcterms:W3CDTF">2025-05-20T14:30:00Z</dcterms:modified>
</cp:coreProperties>
</file>